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2599D" w14:textId="77777777" w:rsidR="009F0FF5" w:rsidRDefault="001C522C">
      <w:pPr>
        <w:pStyle w:val="Default"/>
        <w:jc w:val="both"/>
        <w:rPr>
          <w:rFonts w:hAnsi="仿宋_GB2312"/>
          <w:color w:val="auto"/>
          <w:sz w:val="28"/>
          <w:szCs w:val="28"/>
        </w:rPr>
      </w:pPr>
      <w:r>
        <w:rPr>
          <w:rFonts w:hint="eastAsia"/>
          <w:color w:val="auto"/>
          <w:sz w:val="28"/>
          <w:szCs w:val="28"/>
        </w:rPr>
        <w:t>豁免：</w:t>
      </w:r>
      <w:r>
        <w:rPr>
          <w:rFonts w:hint="eastAsia"/>
          <w:color w:val="auto"/>
          <w:sz w:val="28"/>
          <w:szCs w:val="28"/>
          <w:u w:val="single"/>
        </w:rPr>
        <w:t>关于</w:t>
      </w:r>
      <w:r>
        <w:rPr>
          <w:rFonts w:hint="eastAsia"/>
          <w:color w:val="auto"/>
          <w:sz w:val="28"/>
          <w:szCs w:val="28"/>
          <w:u w:val="single"/>
        </w:rPr>
        <w:t>CCAR</w:t>
      </w:r>
      <w:r>
        <w:rPr>
          <w:rFonts w:hAnsi="仿宋_GB2312" w:hint="eastAsia"/>
          <w:color w:val="auto"/>
          <w:sz w:val="28"/>
          <w:szCs w:val="28"/>
          <w:u w:val="single"/>
        </w:rPr>
        <w:t>25.981(a)(3)</w:t>
      </w:r>
      <w:r>
        <w:rPr>
          <w:rFonts w:hAnsi="仿宋_GB2312" w:hint="eastAsia"/>
          <w:color w:val="auto"/>
          <w:sz w:val="28"/>
          <w:szCs w:val="28"/>
          <w:u w:val="single"/>
        </w:rPr>
        <w:t>燃油箱结构闪电防护</w:t>
      </w:r>
      <w:r>
        <w:rPr>
          <w:rFonts w:hAnsi="仿宋_GB2312" w:hint="eastAsia"/>
          <w:color w:val="auto"/>
          <w:sz w:val="28"/>
          <w:szCs w:val="28"/>
          <w:u w:val="single"/>
        </w:rPr>
        <w:t>部分要求</w:t>
      </w:r>
      <w:r>
        <w:rPr>
          <w:rFonts w:hAnsi="仿宋_GB2312" w:hint="eastAsia"/>
          <w:color w:val="auto"/>
          <w:sz w:val="28"/>
          <w:szCs w:val="28"/>
          <w:u w:val="single"/>
        </w:rPr>
        <w:t>的</w:t>
      </w:r>
      <w:r>
        <w:rPr>
          <w:rFonts w:hAnsi="仿宋_GB2312" w:hint="eastAsia"/>
          <w:color w:val="auto"/>
          <w:sz w:val="28"/>
          <w:szCs w:val="28"/>
          <w:u w:val="single"/>
        </w:rPr>
        <w:t>永久</w:t>
      </w:r>
      <w:r>
        <w:rPr>
          <w:rFonts w:hAnsi="仿宋_GB2312" w:hint="eastAsia"/>
          <w:color w:val="auto"/>
          <w:sz w:val="28"/>
          <w:szCs w:val="28"/>
          <w:u w:val="single"/>
        </w:rPr>
        <w:t>豁免</w:t>
      </w:r>
      <w:r>
        <w:rPr>
          <w:rFonts w:hAnsi="仿宋_GB2312" w:hint="eastAsia"/>
          <w:color w:val="auto"/>
          <w:sz w:val="28"/>
          <w:szCs w:val="28"/>
        </w:rPr>
        <w:t>征求意见稿</w:t>
      </w:r>
    </w:p>
    <w:p w14:paraId="57613D61" w14:textId="0D4C76E9" w:rsidR="009F0FF5" w:rsidRDefault="001C522C">
      <w:pPr>
        <w:pStyle w:val="Default"/>
        <w:jc w:val="both"/>
        <w:rPr>
          <w:color w:val="auto"/>
          <w:sz w:val="28"/>
          <w:szCs w:val="28"/>
        </w:rPr>
      </w:pPr>
      <w:r>
        <w:rPr>
          <w:rFonts w:hint="eastAsia"/>
          <w:color w:val="auto"/>
          <w:sz w:val="28"/>
          <w:szCs w:val="28"/>
        </w:rPr>
        <w:t>编号：</w:t>
      </w:r>
      <w:r w:rsidRPr="001C522C">
        <w:rPr>
          <w:color w:val="auto"/>
          <w:sz w:val="28"/>
          <w:szCs w:val="28"/>
        </w:rPr>
        <w:t>PE-028</w:t>
      </w:r>
      <w:bookmarkStart w:id="0" w:name="_GoBack"/>
      <w:bookmarkEnd w:id="0"/>
    </w:p>
    <w:p w14:paraId="12266C57" w14:textId="77777777" w:rsidR="009F0FF5" w:rsidRDefault="001C522C">
      <w:pPr>
        <w:pStyle w:val="Default"/>
        <w:jc w:val="both"/>
        <w:rPr>
          <w:rFonts w:cs="Times New Roman"/>
          <w:strike/>
          <w:color w:val="auto"/>
          <w:sz w:val="28"/>
          <w:szCs w:val="28"/>
        </w:rPr>
      </w:pPr>
      <w:r>
        <w:rPr>
          <w:rFonts w:hint="eastAsia"/>
          <w:color w:val="auto"/>
          <w:sz w:val="28"/>
          <w:szCs w:val="28"/>
        </w:rPr>
        <w:t>反馈意见截止期：</w:t>
      </w:r>
      <w:r>
        <w:rPr>
          <w:rFonts w:hAnsi="Times New Roman" w:cs="Times New Roman" w:hint="eastAsia"/>
          <w:sz w:val="28"/>
          <w:szCs w:val="28"/>
        </w:rPr>
        <w:t>自通知颁发的</w:t>
      </w:r>
      <w:r>
        <w:rPr>
          <w:rFonts w:hAnsi="Times New Roman" w:cs="Times New Roman" w:hint="eastAsia"/>
          <w:sz w:val="28"/>
          <w:szCs w:val="28"/>
        </w:rPr>
        <w:t>10</w:t>
      </w:r>
      <w:r>
        <w:rPr>
          <w:rFonts w:hAnsi="Times New Roman" w:cs="Times New Roman" w:hint="eastAsia"/>
          <w:sz w:val="28"/>
          <w:szCs w:val="28"/>
        </w:rPr>
        <w:t>个工作日</w:t>
      </w:r>
    </w:p>
    <w:p w14:paraId="61A2F10A" w14:textId="77777777" w:rsidR="009F0FF5" w:rsidRDefault="001C522C">
      <w:pPr>
        <w:pStyle w:val="Default"/>
        <w:numPr>
          <w:ilvl w:val="0"/>
          <w:numId w:val="1"/>
        </w:numPr>
        <w:jc w:val="both"/>
        <w:outlineLvl w:val="0"/>
        <w:rPr>
          <w:color w:val="auto"/>
          <w:sz w:val="28"/>
          <w:szCs w:val="28"/>
        </w:rPr>
      </w:pPr>
      <w:r>
        <w:rPr>
          <w:rFonts w:hint="eastAsia"/>
          <w:color w:val="auto"/>
          <w:sz w:val="28"/>
          <w:szCs w:val="28"/>
        </w:rPr>
        <w:t>概述</w:t>
      </w:r>
    </w:p>
    <w:p w14:paraId="1428A516" w14:textId="77777777" w:rsidR="009F0FF5" w:rsidRDefault="001C522C">
      <w:pPr>
        <w:ind w:firstLineChars="200" w:firstLine="560"/>
        <w:rPr>
          <w:rFonts w:ascii="Arial" w:eastAsia="仿宋_GB2312" w:hAnsi="Arial" w:cs="Times New Roman"/>
          <w:sz w:val="28"/>
          <w:szCs w:val="28"/>
        </w:rPr>
      </w:pP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型</w:t>
      </w:r>
      <w:r>
        <w:rPr>
          <w:rFonts w:ascii="Arial" w:eastAsia="仿宋_GB2312" w:hAnsi="Arial" w:cs="Times New Roman" w:hint="eastAsia"/>
          <w:sz w:val="28"/>
          <w:szCs w:val="28"/>
        </w:rPr>
        <w:t>飞机燃油箱结构闪电防护设计不能满足</w:t>
      </w:r>
      <w:r>
        <w:rPr>
          <w:rFonts w:ascii="仿宋_GB2312" w:eastAsia="仿宋_GB2312" w:hAnsi="Calibri" w:cs="仿宋_GB2312" w:hint="eastAsia"/>
          <w:kern w:val="0"/>
          <w:sz w:val="28"/>
          <w:szCs w:val="28"/>
        </w:rPr>
        <w:t>CCAR25.981(a)(3)</w:t>
      </w:r>
      <w:r>
        <w:rPr>
          <w:rFonts w:ascii="仿宋_GB2312" w:eastAsia="仿宋_GB2312" w:hAnsi="Calibri" w:cs="仿宋_GB2312" w:hint="eastAsia"/>
          <w:kern w:val="0"/>
          <w:sz w:val="28"/>
          <w:szCs w:val="28"/>
        </w:rPr>
        <w:t>中</w:t>
      </w:r>
      <w:r>
        <w:rPr>
          <w:rFonts w:ascii="Arial" w:eastAsia="仿宋_GB2312" w:hAnsi="Arial" w:cs="Times New Roman" w:hint="eastAsia"/>
          <w:sz w:val="28"/>
          <w:szCs w:val="28"/>
        </w:rPr>
        <w:t>的</w:t>
      </w:r>
      <w:r>
        <w:rPr>
          <w:rFonts w:ascii="仿宋_GB2312" w:eastAsia="仿宋_GB2312" w:hAnsi="Calibri" w:cs="仿宋_GB2312" w:hint="eastAsia"/>
          <w:kern w:val="0"/>
          <w:sz w:val="28"/>
          <w:szCs w:val="28"/>
        </w:rPr>
        <w:t>部分</w:t>
      </w:r>
      <w:r>
        <w:rPr>
          <w:rFonts w:ascii="Arial" w:eastAsia="仿宋_GB2312" w:hAnsi="Arial" w:cs="Times New Roman" w:hint="eastAsia"/>
          <w:sz w:val="28"/>
          <w:szCs w:val="28"/>
        </w:rPr>
        <w:t>要求。</w:t>
      </w:r>
      <w:proofErr w:type="gramStart"/>
      <w:r>
        <w:rPr>
          <w:rFonts w:ascii="Arial" w:eastAsia="仿宋_GB2312" w:hAnsi="Arial" w:cs="Times New Roman" w:hint="eastAsia"/>
          <w:sz w:val="28"/>
          <w:szCs w:val="28"/>
        </w:rPr>
        <w:t>中航通飞华南</w:t>
      </w:r>
      <w:proofErr w:type="gramEnd"/>
      <w:r>
        <w:rPr>
          <w:rFonts w:ascii="Arial" w:eastAsia="仿宋_GB2312" w:hAnsi="Arial" w:cs="Times New Roman" w:hint="eastAsia"/>
          <w:sz w:val="28"/>
          <w:szCs w:val="28"/>
        </w:rPr>
        <w:t>飞机工业有限公司申</w:t>
      </w:r>
      <w:r>
        <w:rPr>
          <w:rFonts w:ascii="仿宋_GB2312" w:eastAsia="仿宋_GB2312" w:hAnsi="Calibri" w:cs="仿宋_GB2312" w:hint="eastAsia"/>
          <w:kern w:val="0"/>
          <w:sz w:val="28"/>
          <w:szCs w:val="28"/>
        </w:rPr>
        <w:t>请</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型</w:t>
      </w:r>
      <w:r>
        <w:rPr>
          <w:rFonts w:ascii="Arial" w:eastAsia="仿宋_GB2312" w:hAnsi="Arial" w:cs="Times New Roman" w:hint="eastAsia"/>
          <w:sz w:val="28"/>
          <w:szCs w:val="28"/>
        </w:rPr>
        <w:t>飞机燃油箱结构闪电防护设计对</w:t>
      </w:r>
      <w:r>
        <w:rPr>
          <w:rFonts w:ascii="仿宋_GB2312" w:eastAsia="仿宋_GB2312" w:hAnsi="Calibri" w:cs="仿宋_GB2312" w:hint="eastAsia"/>
          <w:kern w:val="0"/>
          <w:sz w:val="28"/>
          <w:szCs w:val="28"/>
        </w:rPr>
        <w:t>CCAR25.981(a)(3)</w:t>
      </w:r>
      <w:r>
        <w:rPr>
          <w:rFonts w:ascii="仿宋_GB2312" w:eastAsia="仿宋_GB2312" w:hAnsi="Calibri" w:cs="仿宋_GB2312" w:hint="eastAsia"/>
          <w:kern w:val="0"/>
          <w:sz w:val="28"/>
          <w:szCs w:val="28"/>
        </w:rPr>
        <w:t>部分</w:t>
      </w:r>
      <w:r>
        <w:rPr>
          <w:rFonts w:ascii="仿宋_GB2312" w:eastAsia="仿宋_GB2312" w:hAnsi="Calibri" w:cs="仿宋_GB2312" w:hint="eastAsia"/>
          <w:kern w:val="0"/>
          <w:sz w:val="28"/>
          <w:szCs w:val="28"/>
        </w:rPr>
        <w:t>要</w:t>
      </w:r>
      <w:r>
        <w:rPr>
          <w:rFonts w:ascii="Arial" w:eastAsia="仿宋_GB2312" w:hAnsi="Arial" w:cs="Times New Roman" w:hint="eastAsia"/>
          <w:sz w:val="28"/>
          <w:szCs w:val="28"/>
        </w:rPr>
        <w:t>求的豁免。</w:t>
      </w:r>
    </w:p>
    <w:p w14:paraId="2AA952CA" w14:textId="77777777" w:rsidR="009F0FF5" w:rsidRDefault="001C522C">
      <w:pPr>
        <w:pStyle w:val="Default"/>
        <w:numPr>
          <w:ilvl w:val="0"/>
          <w:numId w:val="1"/>
        </w:numPr>
        <w:jc w:val="both"/>
        <w:outlineLvl w:val="0"/>
        <w:rPr>
          <w:rFonts w:ascii="仿宋" w:eastAsia="仿宋" w:hAnsi="仿宋" w:cs="仿宋"/>
          <w:color w:val="auto"/>
          <w:kern w:val="2"/>
          <w:sz w:val="28"/>
          <w:szCs w:val="28"/>
        </w:rPr>
      </w:pPr>
      <w:r>
        <w:rPr>
          <w:rFonts w:ascii="仿宋" w:eastAsia="仿宋" w:hAnsi="仿宋" w:cs="仿宋" w:hint="eastAsia"/>
          <w:color w:val="auto"/>
          <w:kern w:val="2"/>
          <w:sz w:val="28"/>
          <w:szCs w:val="28"/>
        </w:rPr>
        <w:t>适用范围</w:t>
      </w:r>
    </w:p>
    <w:p w14:paraId="06002703" w14:textId="77777777" w:rsidR="009F0FF5" w:rsidRDefault="001C522C">
      <w:pPr>
        <w:ind w:firstLineChars="200" w:firstLine="560"/>
        <w:rPr>
          <w:rFonts w:ascii="Times New Roman" w:hAnsi="Times New Roman"/>
          <w:sz w:val="28"/>
          <w:szCs w:val="28"/>
        </w:rPr>
      </w:pP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型</w:t>
      </w:r>
      <w:r>
        <w:rPr>
          <w:rFonts w:ascii="Arial" w:eastAsia="仿宋_GB2312" w:hAnsi="Arial" w:cs="Times New Roman" w:hint="eastAsia"/>
          <w:sz w:val="28"/>
          <w:szCs w:val="28"/>
        </w:rPr>
        <w:t>飞机。</w:t>
      </w:r>
    </w:p>
    <w:p w14:paraId="1E7FB865" w14:textId="77777777" w:rsidR="009F0FF5" w:rsidRDefault="001C522C">
      <w:pPr>
        <w:pStyle w:val="Default"/>
        <w:numPr>
          <w:ilvl w:val="0"/>
          <w:numId w:val="1"/>
        </w:numPr>
        <w:jc w:val="both"/>
        <w:outlineLvl w:val="0"/>
        <w:rPr>
          <w:color w:val="auto"/>
          <w:sz w:val="28"/>
          <w:szCs w:val="28"/>
        </w:rPr>
      </w:pPr>
      <w:r>
        <w:rPr>
          <w:rFonts w:ascii="Arial" w:hAnsi="Arial" w:cs="Times New Roman" w:hint="eastAsia"/>
          <w:color w:val="auto"/>
          <w:kern w:val="2"/>
          <w:sz w:val="28"/>
          <w:szCs w:val="28"/>
        </w:rPr>
        <w:t>申</w:t>
      </w:r>
      <w:r>
        <w:rPr>
          <w:rFonts w:hint="eastAsia"/>
          <w:color w:val="auto"/>
          <w:sz w:val="28"/>
          <w:szCs w:val="28"/>
        </w:rPr>
        <w:t>请豁免原因</w:t>
      </w:r>
    </w:p>
    <w:p w14:paraId="422E8FE4"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飞机燃油箱结构部分的闪电防护设计采用了类似所有传统金属结构飞机的闪电防护设计方式，</w:t>
      </w:r>
      <w:proofErr w:type="gramStart"/>
      <w:r>
        <w:rPr>
          <w:rFonts w:ascii="仿宋_GB2312" w:eastAsia="仿宋_GB2312" w:hAnsi="Calibri" w:cs="仿宋_GB2312" w:hint="eastAsia"/>
          <w:kern w:val="0"/>
          <w:sz w:val="28"/>
          <w:szCs w:val="28"/>
        </w:rPr>
        <w:t>如高锁螺栓</w:t>
      </w:r>
      <w:proofErr w:type="gramEnd"/>
      <w:r>
        <w:rPr>
          <w:rFonts w:ascii="仿宋_GB2312" w:eastAsia="仿宋_GB2312" w:hAnsi="Calibri" w:cs="仿宋_GB2312" w:hint="eastAsia"/>
          <w:kern w:val="0"/>
          <w:sz w:val="28"/>
          <w:szCs w:val="28"/>
        </w:rPr>
        <w:t>安装采用了过盈配合及湿安装、油箱内侧密封胶封包的闪电防护设计，尽可能地考虑了闪电防护设计的容错，均预期具有两层及以上闪电防护特征，仅在特定失效模式下（</w:t>
      </w:r>
      <w:proofErr w:type="gramStart"/>
      <w:r>
        <w:rPr>
          <w:rFonts w:ascii="仿宋_GB2312" w:eastAsia="仿宋_GB2312" w:hAnsi="Calibri" w:cs="仿宋_GB2312" w:hint="eastAsia"/>
          <w:kern w:val="0"/>
          <w:sz w:val="28"/>
          <w:szCs w:val="28"/>
        </w:rPr>
        <w:t>高锁螺栓</w:t>
      </w:r>
      <w:proofErr w:type="gramEnd"/>
      <w:r>
        <w:rPr>
          <w:rFonts w:ascii="仿宋_GB2312" w:eastAsia="仿宋_GB2312" w:hAnsi="Calibri" w:cs="仿宋_GB2312" w:hint="eastAsia"/>
          <w:kern w:val="0"/>
          <w:sz w:val="28"/>
          <w:szCs w:val="28"/>
        </w:rPr>
        <w:t>断裂和随之密封胶封包脱落的失效模式、高锁螺栓</w:t>
      </w:r>
      <w:proofErr w:type="gramStart"/>
      <w:r>
        <w:rPr>
          <w:rFonts w:ascii="仿宋_GB2312" w:eastAsia="仿宋_GB2312" w:hAnsi="Calibri" w:cs="仿宋_GB2312" w:hint="eastAsia"/>
          <w:kern w:val="0"/>
          <w:sz w:val="28"/>
          <w:szCs w:val="28"/>
        </w:rPr>
        <w:t>孔边裂纹</w:t>
      </w:r>
      <w:proofErr w:type="gramEnd"/>
      <w:r>
        <w:rPr>
          <w:rFonts w:ascii="仿宋_GB2312" w:eastAsia="仿宋_GB2312" w:hAnsi="Calibri" w:cs="仿宋_GB2312" w:hint="eastAsia"/>
          <w:kern w:val="0"/>
          <w:sz w:val="28"/>
          <w:szCs w:val="28"/>
        </w:rPr>
        <w:t>等），闪电防护设计特征为非容错。基于现有工业水平的限制，上述设计特征无法直接满足</w:t>
      </w:r>
      <w:r>
        <w:rPr>
          <w:rFonts w:ascii="仿宋_GB2312" w:eastAsia="仿宋_GB2312" w:hAnsi="Calibri" w:cs="仿宋_GB2312" w:hint="eastAsia"/>
          <w:kern w:val="0"/>
          <w:sz w:val="28"/>
          <w:szCs w:val="28"/>
        </w:rPr>
        <w:t>CCAR25.981(a)(3)</w:t>
      </w:r>
      <w:r>
        <w:rPr>
          <w:rFonts w:ascii="仿宋_GB2312" w:eastAsia="仿宋_GB2312" w:hAnsi="Calibri" w:cs="仿宋_GB2312" w:hint="eastAsia"/>
          <w:kern w:val="0"/>
          <w:sz w:val="28"/>
          <w:szCs w:val="28"/>
        </w:rPr>
        <w:t>“三重”闪电防护要求</w:t>
      </w:r>
      <w:r>
        <w:rPr>
          <w:rFonts w:ascii="仿宋_GB2312" w:eastAsia="仿宋_GB2312" w:hAnsi="Calibri" w:cs="仿宋_GB2312" w:hint="eastAsia"/>
          <w:kern w:val="0"/>
          <w:sz w:val="28"/>
          <w:szCs w:val="28"/>
        </w:rPr>
        <w:t>。</w:t>
      </w:r>
    </w:p>
    <w:p w14:paraId="3D178E53" w14:textId="77777777" w:rsidR="009F0FF5" w:rsidRDefault="001C522C">
      <w:pPr>
        <w:ind w:firstLineChars="200" w:firstLine="560"/>
        <w:rPr>
          <w:rFonts w:ascii="仿宋_GB2312" w:eastAsia="仿宋_GB2312" w:hAnsi="Calibri" w:cs="仿宋_GB2312"/>
          <w:kern w:val="0"/>
          <w:sz w:val="28"/>
          <w:szCs w:val="28"/>
        </w:rPr>
      </w:pPr>
      <w:bookmarkStart w:id="1" w:name="OLE_LINK5"/>
      <w:r>
        <w:rPr>
          <w:rFonts w:ascii="仿宋_GB2312" w:eastAsia="仿宋_GB2312" w:hAnsi="Calibri" w:cs="仿宋_GB2312" w:hint="eastAsia"/>
          <w:kern w:val="0"/>
          <w:sz w:val="28"/>
          <w:szCs w:val="28"/>
        </w:rPr>
        <w:t>申请人在尽可能地考虑燃油箱结构闪电防护容错设计的基础上，</w:t>
      </w:r>
      <w:bookmarkEnd w:id="1"/>
      <w:r>
        <w:rPr>
          <w:rFonts w:ascii="仿宋_GB2312" w:eastAsia="仿宋_GB2312" w:hAnsi="Calibri" w:cs="仿宋_GB2312" w:hint="eastAsia"/>
          <w:kern w:val="0"/>
          <w:sz w:val="28"/>
          <w:szCs w:val="28"/>
        </w:rPr>
        <w:t>为了验证</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飞机油箱结构闪电防护设计能够达到可接受的安全</w:t>
      </w:r>
      <w:r>
        <w:rPr>
          <w:rFonts w:ascii="仿宋_GB2312" w:eastAsia="仿宋_GB2312" w:hAnsi="Calibri" w:cs="仿宋_GB2312" w:hint="eastAsia"/>
          <w:kern w:val="0"/>
          <w:sz w:val="28"/>
          <w:szCs w:val="28"/>
        </w:rPr>
        <w:lastRenderedPageBreak/>
        <w:t>性水平，规划并完成了燃油箱结构和系统闪电影响环境测量试验，开展了燃油箱</w:t>
      </w:r>
      <w:r>
        <w:rPr>
          <w:rFonts w:ascii="仿宋_GB2312" w:eastAsia="仿宋_GB2312" w:hAnsi="Calibri" w:cs="仿宋_GB2312" w:hint="eastAsia"/>
          <w:kern w:val="0"/>
          <w:sz w:val="28"/>
          <w:szCs w:val="28"/>
        </w:rPr>
        <w:t>2A</w:t>
      </w:r>
      <w:r>
        <w:rPr>
          <w:rFonts w:ascii="仿宋_GB2312" w:eastAsia="仿宋_GB2312" w:hAnsi="Calibri" w:cs="仿宋_GB2312" w:hint="eastAsia"/>
          <w:kern w:val="0"/>
          <w:sz w:val="28"/>
          <w:szCs w:val="28"/>
        </w:rPr>
        <w:t>区部分结构闪电点火源防护验证试验及研发试验。在开展“高锁螺栓过盈配合及湿装配”防护特征有效性试验时，部分</w:t>
      </w:r>
      <w:proofErr w:type="gramStart"/>
      <w:r>
        <w:rPr>
          <w:rFonts w:ascii="仿宋_GB2312" w:eastAsia="仿宋_GB2312" w:hAnsi="Calibri" w:cs="仿宋_GB2312" w:hint="eastAsia"/>
          <w:kern w:val="0"/>
          <w:sz w:val="28"/>
          <w:szCs w:val="28"/>
        </w:rPr>
        <w:t>试验件未通过</w:t>
      </w:r>
      <w:proofErr w:type="gramEnd"/>
      <w:r>
        <w:rPr>
          <w:rFonts w:ascii="仿宋_GB2312" w:eastAsia="仿宋_GB2312" w:hAnsi="Calibri" w:cs="仿宋_GB2312" w:hint="eastAsia"/>
          <w:kern w:val="0"/>
          <w:sz w:val="28"/>
          <w:szCs w:val="28"/>
        </w:rPr>
        <w:t>试验，表明部分高锁螺栓与孔壁的过盈配合以及</w:t>
      </w:r>
      <w:proofErr w:type="gramStart"/>
      <w:r>
        <w:rPr>
          <w:rFonts w:ascii="仿宋_GB2312" w:eastAsia="仿宋_GB2312" w:hAnsi="Calibri" w:cs="仿宋_GB2312" w:hint="eastAsia"/>
          <w:kern w:val="0"/>
          <w:sz w:val="28"/>
          <w:szCs w:val="28"/>
        </w:rPr>
        <w:t>密封胶湿安装</w:t>
      </w:r>
      <w:proofErr w:type="gramEnd"/>
      <w:r>
        <w:rPr>
          <w:rFonts w:ascii="仿宋_GB2312" w:eastAsia="仿宋_GB2312" w:hAnsi="Calibri" w:cs="仿宋_GB2312" w:hint="eastAsia"/>
          <w:kern w:val="0"/>
          <w:sz w:val="28"/>
          <w:szCs w:val="28"/>
        </w:rPr>
        <w:t>没有达到预期的一层闪电防护目标，此时高锁螺栓</w:t>
      </w:r>
      <w:proofErr w:type="gramStart"/>
      <w:r>
        <w:rPr>
          <w:rFonts w:ascii="仿宋_GB2312" w:eastAsia="仿宋_GB2312" w:hAnsi="Calibri" w:cs="仿宋_GB2312" w:hint="eastAsia"/>
          <w:kern w:val="0"/>
          <w:sz w:val="28"/>
          <w:szCs w:val="28"/>
        </w:rPr>
        <w:t>安装仅</w:t>
      </w:r>
      <w:proofErr w:type="gramEnd"/>
      <w:r>
        <w:rPr>
          <w:rFonts w:ascii="仿宋_GB2312" w:eastAsia="仿宋_GB2312" w:hAnsi="Calibri" w:cs="仿宋_GB2312" w:hint="eastAsia"/>
          <w:kern w:val="0"/>
          <w:sz w:val="28"/>
          <w:szCs w:val="28"/>
        </w:rPr>
        <w:t>剩密封胶封包一层预期防护特征。由于此设计特征无法满足</w:t>
      </w:r>
      <w:r>
        <w:rPr>
          <w:rFonts w:ascii="仿宋_GB2312" w:eastAsia="仿宋_GB2312" w:hAnsi="Calibri" w:cs="仿宋_GB2312" w:hint="eastAsia"/>
          <w:kern w:val="0"/>
          <w:sz w:val="28"/>
          <w:szCs w:val="28"/>
        </w:rPr>
        <w:t>CCAR25.981(a)(3)</w:t>
      </w:r>
      <w:r>
        <w:rPr>
          <w:rFonts w:ascii="仿宋_GB2312" w:eastAsia="仿宋_GB2312" w:hAnsi="Calibri" w:cs="仿宋_GB2312" w:hint="eastAsia"/>
          <w:kern w:val="0"/>
          <w:sz w:val="28"/>
          <w:szCs w:val="28"/>
        </w:rPr>
        <w:t>“三重”闪电防护的要求，申请人需申请针对</w:t>
      </w:r>
      <w:r>
        <w:rPr>
          <w:rFonts w:ascii="仿宋_GB2312" w:eastAsia="仿宋_GB2312" w:hAnsi="Calibri" w:cs="仿宋_GB2312" w:hint="eastAsia"/>
          <w:kern w:val="0"/>
          <w:sz w:val="28"/>
          <w:szCs w:val="28"/>
        </w:rPr>
        <w:t>CCAR25.981(a)(3)</w:t>
      </w:r>
      <w:r>
        <w:rPr>
          <w:rFonts w:ascii="仿宋_GB2312" w:eastAsia="仿宋_GB2312" w:hAnsi="Calibri" w:cs="仿宋_GB2312" w:hint="eastAsia"/>
          <w:kern w:val="0"/>
          <w:sz w:val="28"/>
          <w:szCs w:val="28"/>
        </w:rPr>
        <w:t>的豁免。</w:t>
      </w:r>
    </w:p>
    <w:p w14:paraId="2DEBD7BA"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针对已经出现试验结果不符合预期设计目标的情况以及可能存在其他闪电防护容错设计达不到预期容错设计目标的风险，在</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飞机的特殊用途、运行场景、使用限制下，申请人</w:t>
      </w:r>
      <w:bookmarkStart w:id="2" w:name="_Hlk190375764"/>
      <w:r>
        <w:rPr>
          <w:rFonts w:ascii="仿宋_GB2312" w:eastAsia="仿宋_GB2312" w:hAnsi="Calibri" w:cs="仿宋_GB2312" w:hint="eastAsia"/>
          <w:kern w:val="0"/>
          <w:sz w:val="28"/>
          <w:szCs w:val="28"/>
        </w:rPr>
        <w:t>拟对</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飞机燃油箱结构的闪电防护特征的容错设计均按非容错防护设计进行保守考虑，</w:t>
      </w:r>
      <w:bookmarkEnd w:id="2"/>
      <w:r>
        <w:rPr>
          <w:rFonts w:ascii="仿宋_GB2312" w:eastAsia="仿宋_GB2312" w:hAnsi="Calibri" w:cs="仿宋_GB2312" w:hint="eastAsia"/>
          <w:kern w:val="0"/>
          <w:sz w:val="28"/>
          <w:szCs w:val="28"/>
        </w:rPr>
        <w:t>表明满足</w:t>
      </w:r>
      <w:r>
        <w:rPr>
          <w:rFonts w:ascii="仿宋_GB2312" w:eastAsia="仿宋_GB2312" w:hAnsi="Calibri" w:cs="仿宋_GB2312" w:hint="eastAsia"/>
          <w:kern w:val="0"/>
          <w:sz w:val="28"/>
          <w:szCs w:val="28"/>
        </w:rPr>
        <w:t>针对</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飞机特定的</w:t>
      </w:r>
      <w:r>
        <w:rPr>
          <w:rFonts w:ascii="仿宋_GB2312" w:eastAsia="仿宋_GB2312" w:hAnsi="Calibri" w:cs="仿宋_GB2312" w:hint="eastAsia"/>
          <w:kern w:val="0"/>
          <w:sz w:val="28"/>
          <w:szCs w:val="28"/>
        </w:rPr>
        <w:t>全机燃油箱闪电防护失效引起燃油箱爆炸的概率要求，确保</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飞机燃油箱结构闪电防护设计提供了可接受的安全性水平。</w:t>
      </w:r>
    </w:p>
    <w:p w14:paraId="4F0EFD7E" w14:textId="77777777" w:rsidR="009F0FF5" w:rsidRDefault="001C522C">
      <w:pPr>
        <w:pStyle w:val="Default"/>
        <w:numPr>
          <w:ilvl w:val="0"/>
          <w:numId w:val="1"/>
        </w:numPr>
        <w:jc w:val="both"/>
        <w:outlineLvl w:val="0"/>
        <w:rPr>
          <w:color w:val="auto"/>
          <w:sz w:val="28"/>
          <w:szCs w:val="28"/>
        </w:rPr>
      </w:pPr>
      <w:r>
        <w:rPr>
          <w:rFonts w:hint="eastAsia"/>
          <w:color w:val="auto"/>
          <w:sz w:val="28"/>
          <w:szCs w:val="28"/>
        </w:rPr>
        <w:t>适航性和安全性影响</w:t>
      </w:r>
    </w:p>
    <w:p w14:paraId="4D93DA46"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为表明对燃油箱结构闪电防护设计申请豁免仍可达到可接受的安全性水平，申请人采用如下的安全措施和限制</w:t>
      </w:r>
      <w:r>
        <w:rPr>
          <w:rFonts w:ascii="仿宋_GB2312" w:eastAsia="仿宋_GB2312" w:hAnsi="Calibri" w:cs="仿宋_GB2312" w:hint="eastAsia"/>
          <w:kern w:val="0"/>
          <w:sz w:val="28"/>
          <w:szCs w:val="28"/>
        </w:rPr>
        <w:t>：</w:t>
      </w:r>
    </w:p>
    <w:p w14:paraId="38EB0AB5" w14:textId="77777777" w:rsidR="009F0FF5" w:rsidRDefault="001C522C">
      <w:pPr>
        <w:pStyle w:val="ad"/>
        <w:numPr>
          <w:ilvl w:val="1"/>
          <w:numId w:val="2"/>
        </w:numPr>
        <w:ind w:firstLineChars="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为达到可接受的安全性水平，申请人表明满足如下要求：</w:t>
      </w:r>
    </w:p>
    <w:p w14:paraId="036160E5"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全机燃油箱区域闪电防护失效引起燃油箱爆炸的概率应小于</w:t>
      </w:r>
      <w:r>
        <w:rPr>
          <w:rFonts w:ascii="仿宋_GB2312" w:eastAsia="仿宋_GB2312" w:hAnsi="Calibri" w:cs="仿宋_GB2312" w:hint="eastAsia"/>
          <w:kern w:val="0"/>
          <w:sz w:val="28"/>
          <w:szCs w:val="28"/>
        </w:rPr>
        <w:t>1E-7</w:t>
      </w:r>
      <w:r>
        <w:rPr>
          <w:rFonts w:ascii="仿宋_GB2312" w:eastAsia="仿宋_GB2312" w:hAnsi="Calibri" w:cs="仿宋_GB2312" w:hint="eastAsia"/>
          <w:kern w:val="0"/>
          <w:sz w:val="28"/>
          <w:szCs w:val="28"/>
        </w:rPr>
        <w:t>；在此基础上，申请人开展分析和说明，以表明</w:t>
      </w:r>
      <w:r>
        <w:rPr>
          <w:rFonts w:ascii="仿宋_GB2312" w:eastAsia="仿宋_GB2312" w:hAnsi="Calibri" w:cs="仿宋_GB2312" w:hint="eastAsia"/>
          <w:kern w:val="0"/>
          <w:sz w:val="28"/>
          <w:szCs w:val="28"/>
        </w:rPr>
        <w:t>AG600</w:t>
      </w:r>
      <w:r>
        <w:rPr>
          <w:rFonts w:ascii="仿宋_GB2312" w:eastAsia="仿宋_GB2312" w:hAnsi="Calibri" w:cs="仿宋_GB2312" w:hint="eastAsia"/>
          <w:kern w:val="0"/>
          <w:sz w:val="28"/>
          <w:szCs w:val="28"/>
        </w:rPr>
        <w:t>飞机燃油箱结构设计、制造、工艺以及持续适航文件的适航限制章节包含了所有</w:t>
      </w:r>
      <w:r>
        <w:rPr>
          <w:rFonts w:ascii="仿宋_GB2312" w:eastAsia="仿宋_GB2312" w:hAnsi="Calibri" w:cs="仿宋_GB2312" w:hint="eastAsia"/>
          <w:kern w:val="0"/>
          <w:sz w:val="28"/>
          <w:szCs w:val="28"/>
        </w:rPr>
        <w:lastRenderedPageBreak/>
        <w:t>可行的措施以防止、检查和纠正由于制造偏离、老化、磨损、腐蚀和可能的损伤造成的燃油箱结构闪电防护特征的失效；</w:t>
      </w:r>
    </w:p>
    <w:p w14:paraId="00998BFF" w14:textId="77777777" w:rsidR="009F0FF5" w:rsidRDefault="001C522C">
      <w:pPr>
        <w:pStyle w:val="ad"/>
        <w:numPr>
          <w:ilvl w:val="1"/>
          <w:numId w:val="2"/>
        </w:numPr>
        <w:ind w:firstLineChars="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限制不在已知或预报的雷电区域运行</w:t>
      </w:r>
      <w:r>
        <w:rPr>
          <w:rFonts w:ascii="仿宋_GB2312" w:eastAsia="仿宋_GB2312" w:hAnsi="Calibri" w:cs="仿宋_GB2312" w:hint="eastAsia"/>
          <w:kern w:val="0"/>
          <w:sz w:val="28"/>
          <w:szCs w:val="28"/>
        </w:rPr>
        <w:t>；</w:t>
      </w:r>
    </w:p>
    <w:p w14:paraId="5BD20700" w14:textId="77777777" w:rsidR="009F0FF5" w:rsidRDefault="001C522C">
      <w:pPr>
        <w:pStyle w:val="ad"/>
        <w:numPr>
          <w:ilvl w:val="1"/>
          <w:numId w:val="2"/>
        </w:numPr>
        <w:ind w:firstLineChars="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气象雷达工作正常。</w:t>
      </w:r>
    </w:p>
    <w:p w14:paraId="1C311EC3"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针对全机燃油箱区域，申请人基于保守的假设通过概率分析表明全机燃油箱区域闪电防护失效引起燃油箱爆炸的概率小于</w:t>
      </w:r>
      <w:r>
        <w:rPr>
          <w:rFonts w:ascii="仿宋_GB2312" w:eastAsia="仿宋_GB2312" w:hAnsi="Calibri" w:cs="仿宋_GB2312" w:hint="eastAsia"/>
          <w:kern w:val="0"/>
          <w:sz w:val="28"/>
          <w:szCs w:val="28"/>
        </w:rPr>
        <w:t>1E-7</w:t>
      </w:r>
      <w:r>
        <w:rPr>
          <w:rFonts w:ascii="仿宋_GB2312" w:eastAsia="仿宋_GB2312" w:hAnsi="Calibri" w:cs="仿宋_GB2312" w:hint="eastAsia"/>
          <w:kern w:val="0"/>
          <w:sz w:val="28"/>
          <w:szCs w:val="28"/>
        </w:rPr>
        <w:t>，分析对象为燃油箱结构。</w:t>
      </w:r>
    </w:p>
    <w:p w14:paraId="764FB7FC"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申请人针对燃油箱结构的闪电防护设计建立相应的关键设计构型控制限制（</w:t>
      </w:r>
      <w:r>
        <w:rPr>
          <w:rFonts w:ascii="仿宋_GB2312" w:eastAsia="仿宋_GB2312" w:hAnsi="Calibri" w:cs="仿宋_GB2312" w:hint="eastAsia"/>
          <w:kern w:val="0"/>
          <w:sz w:val="28"/>
          <w:szCs w:val="28"/>
        </w:rPr>
        <w:t>CDCCL</w:t>
      </w:r>
      <w:r>
        <w:rPr>
          <w:rFonts w:ascii="仿宋_GB2312" w:eastAsia="仿宋_GB2312" w:hAnsi="Calibri" w:cs="仿宋_GB2312" w:hint="eastAsia"/>
          <w:kern w:val="0"/>
          <w:sz w:val="28"/>
          <w:szCs w:val="28"/>
        </w:rPr>
        <w:t>）。申请人控制制造过程以确保闪电防护特征按照图纸要求进行正确安装，通过产品过程控制来降低防护特征被错误安装、错误修理的风险，修理程序将通过严谨的审核以确保防护特征在整个寿命期内得到持续的维护。申请人提供持续适航指导文件和修理过程指导以确保在整个飞机生命周期中防护特征得到持续的维护。同时，申请人把</w:t>
      </w:r>
      <w:r>
        <w:rPr>
          <w:rFonts w:ascii="仿宋_GB2312" w:eastAsia="仿宋_GB2312" w:hAnsi="Calibri" w:cs="仿宋_GB2312" w:hint="eastAsia"/>
          <w:kern w:val="0"/>
          <w:sz w:val="28"/>
          <w:szCs w:val="28"/>
        </w:rPr>
        <w:t>持续适航文件纳入到适航审查审定文件系统中。</w:t>
      </w:r>
    </w:p>
    <w:p w14:paraId="600D028E" w14:textId="77777777" w:rsidR="009F0FF5" w:rsidRDefault="001C522C">
      <w:pPr>
        <w:ind w:firstLineChars="200" w:firstLine="560"/>
        <w:rPr>
          <w:rFonts w:ascii="仿宋_GB2312" w:eastAsia="仿宋_GB2312" w:hAnsi="Calibri" w:cs="仿宋_GB2312"/>
          <w:kern w:val="0"/>
          <w:sz w:val="28"/>
          <w:szCs w:val="28"/>
        </w:rPr>
      </w:pPr>
      <w:r>
        <w:rPr>
          <w:rFonts w:ascii="仿宋_GB2312" w:eastAsia="仿宋_GB2312" w:hAnsi="Calibri" w:cs="仿宋_GB2312" w:hint="eastAsia"/>
          <w:kern w:val="0"/>
          <w:sz w:val="28"/>
          <w:szCs w:val="28"/>
        </w:rPr>
        <w:t>此外，为了尽可能降低飞机飞行区域遭遇闪电事件的概率，申请人在飞行手册中明确以下限制措施：禁止在已知的或预报的雷电区域运行；同时，为了提高雷电环境预报能力，申请人将气象雷达纳入</w:t>
      </w:r>
      <w:r>
        <w:rPr>
          <w:rFonts w:ascii="仿宋_GB2312" w:eastAsia="仿宋_GB2312" w:hAnsi="Calibri" w:cs="仿宋_GB2312" w:hint="eastAsia"/>
          <w:kern w:val="0"/>
          <w:sz w:val="28"/>
          <w:szCs w:val="28"/>
        </w:rPr>
        <w:t>MMEL</w:t>
      </w:r>
      <w:r>
        <w:rPr>
          <w:rFonts w:ascii="仿宋_GB2312" w:eastAsia="仿宋_GB2312" w:hAnsi="Calibri" w:cs="仿宋_GB2312" w:hint="eastAsia"/>
          <w:kern w:val="0"/>
          <w:sz w:val="28"/>
          <w:szCs w:val="28"/>
        </w:rPr>
        <w:t>清单。</w:t>
      </w:r>
    </w:p>
    <w:p w14:paraId="163A95D8" w14:textId="77777777" w:rsidR="009F0FF5" w:rsidRDefault="001C522C">
      <w:pPr>
        <w:pStyle w:val="Default"/>
        <w:numPr>
          <w:ilvl w:val="0"/>
          <w:numId w:val="1"/>
        </w:numPr>
        <w:jc w:val="both"/>
        <w:outlineLvl w:val="0"/>
        <w:rPr>
          <w:color w:val="auto"/>
          <w:sz w:val="28"/>
          <w:szCs w:val="28"/>
        </w:rPr>
      </w:pPr>
      <w:r>
        <w:rPr>
          <w:rFonts w:hint="eastAsia"/>
          <w:color w:val="auto"/>
          <w:sz w:val="28"/>
          <w:szCs w:val="28"/>
        </w:rPr>
        <w:t>豁免有效期</w:t>
      </w:r>
    </w:p>
    <w:p w14:paraId="5456B0A6" w14:textId="77777777" w:rsidR="009F0FF5" w:rsidRDefault="001C522C">
      <w:pPr>
        <w:ind w:firstLineChars="200" w:firstLine="560"/>
        <w:rPr>
          <w:rFonts w:ascii="Arial" w:eastAsia="仿宋_GB2312" w:hAnsi="Arial" w:cs="Times New Roman"/>
          <w:sz w:val="28"/>
          <w:szCs w:val="28"/>
        </w:rPr>
      </w:pPr>
      <w:r>
        <w:rPr>
          <w:rFonts w:ascii="Arial" w:eastAsia="仿宋_GB2312" w:hAnsi="Arial" w:cs="Times New Roman" w:hint="eastAsia"/>
          <w:sz w:val="28"/>
          <w:szCs w:val="28"/>
        </w:rPr>
        <w:t>永久</w:t>
      </w:r>
      <w:r>
        <w:rPr>
          <w:rFonts w:ascii="Arial" w:eastAsia="仿宋_GB2312" w:hAnsi="Arial" w:cs="Times New Roman" w:hint="eastAsia"/>
          <w:sz w:val="28"/>
          <w:szCs w:val="28"/>
        </w:rPr>
        <w:t>。</w:t>
      </w:r>
    </w:p>
    <w:p w14:paraId="0E8834D9" w14:textId="77777777" w:rsidR="009F0FF5" w:rsidRDefault="001C522C">
      <w:pPr>
        <w:pStyle w:val="Default"/>
        <w:numPr>
          <w:ilvl w:val="0"/>
          <w:numId w:val="1"/>
        </w:numPr>
        <w:jc w:val="both"/>
        <w:outlineLvl w:val="0"/>
        <w:rPr>
          <w:color w:val="auto"/>
          <w:sz w:val="28"/>
          <w:szCs w:val="28"/>
        </w:rPr>
      </w:pPr>
      <w:r>
        <w:rPr>
          <w:rFonts w:hint="eastAsia"/>
          <w:color w:val="auto"/>
          <w:sz w:val="28"/>
          <w:szCs w:val="28"/>
        </w:rPr>
        <w:t>结论</w:t>
      </w:r>
    </w:p>
    <w:p w14:paraId="1CA53374" w14:textId="77777777" w:rsidR="009F0FF5" w:rsidRDefault="001C522C">
      <w:pPr>
        <w:ind w:firstLineChars="200" w:firstLine="560"/>
        <w:rPr>
          <w:rFonts w:ascii="Arial" w:eastAsia="仿宋_GB2312" w:hAnsi="Arial" w:cs="Times New Roman"/>
          <w:sz w:val="28"/>
          <w:szCs w:val="28"/>
        </w:rPr>
      </w:pPr>
      <w:r>
        <w:rPr>
          <w:rFonts w:ascii="Arial" w:eastAsia="仿宋_GB2312" w:hAnsi="Arial" w:cs="Times New Roman" w:hint="eastAsia"/>
          <w:sz w:val="28"/>
          <w:szCs w:val="28"/>
        </w:rPr>
        <w:t>鉴于以上分析，</w:t>
      </w:r>
      <w:r>
        <w:rPr>
          <w:rFonts w:ascii="Arial" w:eastAsia="仿宋_GB2312" w:hAnsi="Arial" w:cs="Times New Roman" w:hint="eastAsia"/>
          <w:sz w:val="28"/>
          <w:szCs w:val="28"/>
        </w:rPr>
        <w:t>拟</w:t>
      </w:r>
      <w:r>
        <w:rPr>
          <w:rFonts w:ascii="Arial" w:eastAsia="仿宋_GB2312" w:hAnsi="Arial" w:cs="Times New Roman" w:hint="eastAsia"/>
          <w:sz w:val="28"/>
          <w:szCs w:val="28"/>
        </w:rPr>
        <w:t>批准此豁免。</w:t>
      </w:r>
    </w:p>
    <w:p w14:paraId="6A47B961" w14:textId="77777777" w:rsidR="009F0FF5" w:rsidRDefault="001C522C">
      <w:pPr>
        <w:pStyle w:val="a4"/>
        <w:kinsoku w:val="0"/>
        <w:overflowPunct w:val="0"/>
        <w:ind w:left="238"/>
        <w:rPr>
          <w:rFonts w:ascii="Arial" w:eastAsia="仿宋_GB2312" w:hAnsi="Arial" w:cs="Times New Roman"/>
          <w:szCs w:val="28"/>
        </w:rPr>
      </w:pPr>
      <w:r>
        <w:rPr>
          <w:rFonts w:ascii="Arial" w:eastAsia="仿宋_GB2312" w:hAnsi="Arial" w:cs="Times New Roman" w:hint="eastAsia"/>
          <w:szCs w:val="28"/>
        </w:rPr>
        <w:lastRenderedPageBreak/>
        <w:t>附：《专用条件</w:t>
      </w:r>
      <w:r>
        <w:rPr>
          <w:rFonts w:ascii="Arial" w:eastAsia="仿宋_GB2312" w:hAnsi="Arial" w:cs="Times New Roman" w:hint="eastAsia"/>
          <w:szCs w:val="28"/>
        </w:rPr>
        <w:t>/</w:t>
      </w:r>
      <w:r>
        <w:rPr>
          <w:rFonts w:ascii="Arial" w:eastAsia="仿宋_GB2312" w:hAnsi="Arial" w:cs="Times New Roman" w:hint="eastAsia"/>
          <w:szCs w:val="28"/>
        </w:rPr>
        <w:t>豁免反馈意见表》</w:t>
      </w:r>
      <w:r>
        <w:rPr>
          <w:rFonts w:ascii="仿宋_GB2312" w:eastAsia="仿宋_GB2312" w:hAnsi="Calibri" w:cs="仿宋_GB2312" w:hint="eastAsia"/>
          <w:kern w:val="0"/>
          <w:szCs w:val="28"/>
        </w:rPr>
        <w:t>（表</w:t>
      </w:r>
      <w:r>
        <w:rPr>
          <w:rFonts w:ascii="仿宋_GB2312" w:eastAsia="仿宋_GB2312" w:hAnsi="Calibri" w:cs="仿宋_GB2312" w:hint="eastAsia"/>
          <w:kern w:val="0"/>
          <w:szCs w:val="28"/>
        </w:rPr>
        <w:t>-21-145</w:t>
      </w:r>
      <w:r>
        <w:rPr>
          <w:rFonts w:ascii="仿宋_GB2312" w:eastAsia="仿宋_GB2312" w:hAnsi="Calibri" w:cs="仿宋_GB2312" w:hint="eastAsia"/>
          <w:kern w:val="0"/>
          <w:szCs w:val="28"/>
        </w:rPr>
        <w:t>）</w:t>
      </w:r>
    </w:p>
    <w:p w14:paraId="6701088C" w14:textId="77777777" w:rsidR="009F0FF5" w:rsidRDefault="001C522C">
      <w:pPr>
        <w:rPr>
          <w:rFonts w:asciiTheme="minorHAnsi" w:eastAsiaTheme="minorEastAsia" w:hAnsiTheme="minorHAnsi"/>
          <w:szCs w:val="22"/>
        </w:rPr>
      </w:pPr>
      <w:r>
        <w:rPr>
          <w:rFonts w:asciiTheme="minorHAnsi" w:eastAsiaTheme="minorEastAsia" w:hAnsiTheme="minorHAnsi"/>
          <w:szCs w:val="22"/>
        </w:rPr>
        <w:br w:type="page"/>
      </w:r>
    </w:p>
    <w:p w14:paraId="1CBC6A55" w14:textId="77777777" w:rsidR="009F0FF5" w:rsidRDefault="009F0FF5">
      <w:pPr>
        <w:autoSpaceDE w:val="0"/>
        <w:autoSpaceDN w:val="0"/>
        <w:adjustRightInd w:val="0"/>
        <w:spacing w:line="463" w:lineRule="exact"/>
        <w:jc w:val="left"/>
        <w:rPr>
          <w:rFonts w:ascii="仿宋_GB2312" w:eastAsia="仿宋_GB2312" w:hAnsi="Times New Roman" w:cs="Times New Roman"/>
          <w:sz w:val="32"/>
          <w:szCs w:val="32"/>
        </w:rPr>
      </w:pPr>
    </w:p>
    <w:p w14:paraId="498547E5" w14:textId="77777777" w:rsidR="009F0FF5" w:rsidRDefault="001C522C">
      <w:pPr>
        <w:autoSpaceDE w:val="0"/>
        <w:autoSpaceDN w:val="0"/>
        <w:adjustRightInd w:val="0"/>
        <w:spacing w:line="463" w:lineRule="exact"/>
        <w:jc w:val="center"/>
        <w:rPr>
          <w:rFonts w:ascii="仿宋_GB2312" w:eastAsia="仿宋_GB2312" w:hAnsi="Arial" w:cs="Microsoft JhengHei"/>
          <w:kern w:val="0"/>
          <w:sz w:val="28"/>
          <w:szCs w:val="28"/>
        </w:rPr>
      </w:pPr>
      <w:r>
        <w:rPr>
          <w:rFonts w:ascii="仿宋_GB2312" w:eastAsia="仿宋_GB2312" w:hAnsi="Times New Roman" w:cs="Microsoft JhengHei" w:hint="eastAsia"/>
          <w:kern w:val="0"/>
          <w:position w:val="-4"/>
          <w:sz w:val="28"/>
          <w:szCs w:val="28"/>
        </w:rPr>
        <w:t>专用条件</w:t>
      </w:r>
      <w:r>
        <w:rPr>
          <w:rFonts w:ascii="仿宋_GB2312" w:eastAsia="仿宋_GB2312" w:hAnsi="Arial" w:cs="Arial" w:hint="eastAsia"/>
          <w:kern w:val="0"/>
          <w:position w:val="-4"/>
          <w:sz w:val="28"/>
          <w:szCs w:val="28"/>
        </w:rPr>
        <w:t>/</w:t>
      </w:r>
      <w:r>
        <w:rPr>
          <w:rFonts w:ascii="仿宋_GB2312" w:eastAsia="仿宋_GB2312" w:hAnsi="Arial" w:cs="Microsoft JhengHei" w:hint="eastAsia"/>
          <w:kern w:val="0"/>
          <w:position w:val="-4"/>
          <w:sz w:val="28"/>
          <w:szCs w:val="28"/>
        </w:rPr>
        <w:t>豁免反馈意见表</w:t>
      </w:r>
    </w:p>
    <w:p w14:paraId="4E05295E" w14:textId="77777777" w:rsidR="009F0FF5" w:rsidRDefault="009F0FF5">
      <w:pPr>
        <w:autoSpaceDE w:val="0"/>
        <w:autoSpaceDN w:val="0"/>
        <w:adjustRightInd w:val="0"/>
        <w:spacing w:before="3" w:line="160" w:lineRule="exact"/>
        <w:jc w:val="left"/>
        <w:rPr>
          <w:rFonts w:ascii="仿宋_GB2312" w:eastAsia="仿宋_GB2312" w:hAnsi="Arial" w:cs="Microsoft JhengHei"/>
          <w:kern w:val="0"/>
          <w:sz w:val="16"/>
          <w:szCs w:val="16"/>
        </w:rPr>
      </w:pPr>
    </w:p>
    <w:tbl>
      <w:tblPr>
        <w:tblW w:w="8687" w:type="dxa"/>
        <w:tblInd w:w="107" w:type="dxa"/>
        <w:tblLayout w:type="fixed"/>
        <w:tblCellMar>
          <w:left w:w="0" w:type="dxa"/>
          <w:right w:w="0" w:type="dxa"/>
        </w:tblCellMar>
        <w:tblLook w:val="04A0" w:firstRow="1" w:lastRow="0" w:firstColumn="1" w:lastColumn="0" w:noHBand="0" w:noVBand="1"/>
      </w:tblPr>
      <w:tblGrid>
        <w:gridCol w:w="694"/>
        <w:gridCol w:w="1134"/>
        <w:gridCol w:w="285"/>
        <w:gridCol w:w="6574"/>
      </w:tblGrid>
      <w:tr w:rsidR="009F0FF5" w14:paraId="2B021380" w14:textId="77777777">
        <w:trPr>
          <w:trHeight w:hRule="exact" w:val="643"/>
        </w:trPr>
        <w:tc>
          <w:tcPr>
            <w:tcW w:w="694" w:type="dxa"/>
            <w:tcBorders>
              <w:top w:val="single" w:sz="4" w:space="0" w:color="000000"/>
              <w:left w:val="single" w:sz="4" w:space="0" w:color="000000"/>
              <w:bottom w:val="single" w:sz="4" w:space="0" w:color="000000"/>
              <w:right w:val="single" w:sz="4" w:space="0" w:color="000000"/>
            </w:tcBorders>
          </w:tcPr>
          <w:p w14:paraId="1A9F59A0" w14:textId="77777777" w:rsidR="009F0FF5" w:rsidRDefault="001C522C">
            <w:pPr>
              <w:autoSpaceDE w:val="0"/>
              <w:autoSpaceDN w:val="0"/>
              <w:adjustRightInd w:val="0"/>
              <w:spacing w:before="9"/>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类别</w:t>
            </w:r>
          </w:p>
        </w:tc>
        <w:tc>
          <w:tcPr>
            <w:tcW w:w="7993" w:type="dxa"/>
            <w:gridSpan w:val="3"/>
            <w:tcBorders>
              <w:top w:val="single" w:sz="4" w:space="0" w:color="000000"/>
              <w:left w:val="single" w:sz="4" w:space="0" w:color="000000"/>
              <w:bottom w:val="single" w:sz="4" w:space="0" w:color="000000"/>
              <w:right w:val="single" w:sz="4" w:space="0" w:color="000000"/>
            </w:tcBorders>
          </w:tcPr>
          <w:p w14:paraId="31D50293" w14:textId="77777777" w:rsidR="009F0FF5" w:rsidRDefault="001C522C">
            <w:pPr>
              <w:autoSpaceDE w:val="0"/>
              <w:autoSpaceDN w:val="0"/>
              <w:adjustRightInd w:val="0"/>
              <w:spacing w:before="9"/>
              <w:ind w:left="1331"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w w:val="107"/>
                <w:kern w:val="0"/>
                <w:sz w:val="28"/>
                <w:szCs w:val="28"/>
              </w:rPr>
              <w:t>□专用条件</w:t>
            </w:r>
            <w:r>
              <w:rPr>
                <w:rFonts w:ascii="仿宋_GB2312" w:eastAsia="仿宋_GB2312" w:hAnsi="Times New Roman" w:cs="Microsoft JhengHei" w:hint="eastAsia"/>
                <w:spacing w:val="1"/>
                <w:w w:val="107"/>
                <w:kern w:val="0"/>
                <w:sz w:val="28"/>
                <w:szCs w:val="28"/>
              </w:rPr>
              <w:t xml:space="preserve"> </w:t>
            </w:r>
            <w:r>
              <w:rPr>
                <w:rFonts w:ascii="仿宋_GB2312" w:eastAsia="仿宋_GB2312" w:hAnsi="Times New Roman" w:cs="Microsoft JhengHei"/>
                <w:spacing w:val="1"/>
                <w:w w:val="107"/>
                <w:kern w:val="0"/>
                <w:sz w:val="28"/>
                <w:szCs w:val="28"/>
              </w:rPr>
              <w:t xml:space="preserve"> </w:t>
            </w:r>
            <w:r>
              <w:rPr>
                <w:rFonts w:ascii="仿宋_GB2312" w:eastAsia="仿宋_GB2312" w:hAnsi="Times New Roman" w:cs="Microsoft JhengHei" w:hint="eastAsia"/>
                <w:spacing w:val="1"/>
                <w:w w:val="107"/>
                <w:kern w:val="0"/>
                <w:sz w:val="28"/>
                <w:szCs w:val="28"/>
              </w:rPr>
              <w:t>□豁免</w:t>
            </w:r>
          </w:p>
        </w:tc>
      </w:tr>
      <w:tr w:rsidR="009F0FF5" w14:paraId="6854C3E9" w14:textId="77777777">
        <w:trPr>
          <w:trHeight w:hRule="exact" w:val="634"/>
        </w:trPr>
        <w:tc>
          <w:tcPr>
            <w:tcW w:w="2113" w:type="dxa"/>
            <w:gridSpan w:val="3"/>
            <w:tcBorders>
              <w:top w:val="single" w:sz="4" w:space="0" w:color="000000"/>
              <w:left w:val="single" w:sz="4" w:space="0" w:color="000000"/>
              <w:bottom w:val="single" w:sz="4" w:space="0" w:color="000000"/>
              <w:right w:val="single" w:sz="4" w:space="0" w:color="000000"/>
            </w:tcBorders>
          </w:tcPr>
          <w:p w14:paraId="5AF99F9A" w14:textId="77777777" w:rsidR="009F0FF5" w:rsidRDefault="001C522C">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征求意见稿编号</w:t>
            </w:r>
          </w:p>
        </w:tc>
        <w:tc>
          <w:tcPr>
            <w:tcW w:w="6574" w:type="dxa"/>
            <w:tcBorders>
              <w:top w:val="single" w:sz="4" w:space="0" w:color="000000"/>
              <w:left w:val="single" w:sz="4" w:space="0" w:color="000000"/>
              <w:bottom w:val="single" w:sz="4" w:space="0" w:color="000000"/>
              <w:right w:val="single" w:sz="4" w:space="0" w:color="000000"/>
            </w:tcBorders>
          </w:tcPr>
          <w:p w14:paraId="6FAEE410" w14:textId="77777777" w:rsidR="009F0FF5" w:rsidRDefault="009F0FF5">
            <w:pPr>
              <w:autoSpaceDE w:val="0"/>
              <w:autoSpaceDN w:val="0"/>
              <w:adjustRightInd w:val="0"/>
              <w:ind w:left="52" w:right="-20"/>
              <w:jc w:val="left"/>
              <w:rPr>
                <w:rFonts w:ascii="仿宋_GB2312" w:eastAsia="仿宋_GB2312" w:hAnsi="Times New Roman" w:cs="Times New Roman"/>
                <w:kern w:val="0"/>
                <w:sz w:val="24"/>
                <w:szCs w:val="24"/>
              </w:rPr>
            </w:pPr>
          </w:p>
        </w:tc>
      </w:tr>
      <w:tr w:rsidR="009F0FF5" w14:paraId="3197EB48" w14:textId="77777777">
        <w:trPr>
          <w:trHeight w:hRule="exact" w:val="634"/>
        </w:trPr>
        <w:tc>
          <w:tcPr>
            <w:tcW w:w="1828" w:type="dxa"/>
            <w:gridSpan w:val="2"/>
            <w:tcBorders>
              <w:top w:val="single" w:sz="4" w:space="0" w:color="000000"/>
              <w:left w:val="single" w:sz="4" w:space="0" w:color="000000"/>
              <w:bottom w:val="single" w:sz="4" w:space="0" w:color="000000"/>
              <w:right w:val="single" w:sz="4" w:space="0" w:color="000000"/>
            </w:tcBorders>
          </w:tcPr>
          <w:p w14:paraId="457E3E82" w14:textId="77777777" w:rsidR="009F0FF5" w:rsidRDefault="001C522C">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航空产品型号</w:t>
            </w:r>
          </w:p>
        </w:tc>
        <w:tc>
          <w:tcPr>
            <w:tcW w:w="6859" w:type="dxa"/>
            <w:gridSpan w:val="2"/>
            <w:tcBorders>
              <w:top w:val="single" w:sz="4" w:space="0" w:color="000000"/>
              <w:left w:val="single" w:sz="4" w:space="0" w:color="000000"/>
              <w:bottom w:val="single" w:sz="4" w:space="0" w:color="000000"/>
              <w:right w:val="single" w:sz="4" w:space="0" w:color="000000"/>
            </w:tcBorders>
          </w:tcPr>
          <w:p w14:paraId="020F4D9F" w14:textId="77777777" w:rsidR="009F0FF5" w:rsidRDefault="009F0FF5">
            <w:pPr>
              <w:autoSpaceDE w:val="0"/>
              <w:autoSpaceDN w:val="0"/>
              <w:adjustRightInd w:val="0"/>
              <w:ind w:left="52" w:right="-20"/>
              <w:jc w:val="left"/>
              <w:rPr>
                <w:rFonts w:ascii="仿宋_GB2312" w:eastAsia="仿宋_GB2312" w:hAnsi="Times New Roman" w:cs="Times New Roman"/>
                <w:kern w:val="0"/>
                <w:sz w:val="24"/>
                <w:szCs w:val="24"/>
              </w:rPr>
            </w:pPr>
          </w:p>
        </w:tc>
      </w:tr>
      <w:tr w:rsidR="009F0FF5" w14:paraId="291B208F"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0495B124" w14:textId="77777777" w:rsidR="009F0FF5" w:rsidRDefault="001C522C">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spacing w:val="1"/>
                <w:kern w:val="0"/>
                <w:sz w:val="28"/>
                <w:szCs w:val="28"/>
              </w:rPr>
              <w:t>相关的适航规章和</w:t>
            </w:r>
            <w:r>
              <w:rPr>
                <w:rFonts w:ascii="仿宋_GB2312" w:eastAsia="仿宋_GB2312" w:hAnsi="Times New Roman" w:cs="Microsoft JhengHei" w:hint="eastAsia"/>
                <w:spacing w:val="1"/>
                <w:kern w:val="0"/>
                <w:sz w:val="28"/>
                <w:szCs w:val="28"/>
              </w:rPr>
              <w:t>/</w:t>
            </w:r>
            <w:r>
              <w:rPr>
                <w:rFonts w:ascii="仿宋_GB2312" w:eastAsia="仿宋_GB2312" w:hAnsi="Times New Roman" w:cs="Microsoft JhengHei" w:hint="eastAsia"/>
                <w:spacing w:val="1"/>
                <w:kern w:val="0"/>
                <w:sz w:val="28"/>
                <w:szCs w:val="28"/>
              </w:rPr>
              <w:t>或环保要求</w:t>
            </w:r>
          </w:p>
        </w:tc>
      </w:tr>
      <w:tr w:rsidR="009F0FF5" w14:paraId="07E55EDA" w14:textId="77777777">
        <w:trPr>
          <w:trHeight w:hRule="exact" w:val="1578"/>
        </w:trPr>
        <w:tc>
          <w:tcPr>
            <w:tcW w:w="8687" w:type="dxa"/>
            <w:gridSpan w:val="4"/>
            <w:tcBorders>
              <w:top w:val="single" w:sz="4" w:space="0" w:color="000000"/>
              <w:left w:val="single" w:sz="4" w:space="0" w:color="000000"/>
              <w:bottom w:val="single" w:sz="4" w:space="0" w:color="000000"/>
              <w:right w:val="single" w:sz="4" w:space="0" w:color="000000"/>
            </w:tcBorders>
          </w:tcPr>
          <w:p w14:paraId="57DEA643" w14:textId="77777777" w:rsidR="009F0FF5" w:rsidRDefault="009F0FF5">
            <w:pPr>
              <w:autoSpaceDE w:val="0"/>
              <w:autoSpaceDN w:val="0"/>
              <w:adjustRightInd w:val="0"/>
              <w:ind w:left="127" w:right="-20"/>
              <w:jc w:val="left"/>
              <w:rPr>
                <w:rFonts w:ascii="仿宋_GB2312" w:eastAsia="仿宋_GB2312" w:hAnsi="Times New Roman" w:cs="Times New Roman"/>
                <w:kern w:val="0"/>
                <w:sz w:val="24"/>
                <w:szCs w:val="24"/>
              </w:rPr>
            </w:pPr>
          </w:p>
        </w:tc>
      </w:tr>
      <w:tr w:rsidR="009F0FF5" w14:paraId="1E2590B8" w14:textId="77777777">
        <w:trPr>
          <w:trHeight w:hRule="exact" w:val="635"/>
        </w:trPr>
        <w:tc>
          <w:tcPr>
            <w:tcW w:w="8687" w:type="dxa"/>
            <w:gridSpan w:val="4"/>
            <w:tcBorders>
              <w:top w:val="single" w:sz="4" w:space="0" w:color="000000"/>
              <w:left w:val="single" w:sz="4" w:space="0" w:color="000000"/>
              <w:bottom w:val="single" w:sz="4" w:space="0" w:color="000000"/>
              <w:right w:val="single" w:sz="4" w:space="0" w:color="000000"/>
            </w:tcBorders>
          </w:tcPr>
          <w:p w14:paraId="3E8D3C2C" w14:textId="77777777" w:rsidR="009F0FF5" w:rsidRDefault="001C522C">
            <w:pPr>
              <w:autoSpaceDE w:val="0"/>
              <w:autoSpaceDN w:val="0"/>
              <w:adjustRightInd w:val="0"/>
              <w:ind w:left="56" w:right="-20"/>
              <w:jc w:val="left"/>
              <w:rPr>
                <w:rFonts w:ascii="仿宋_GB2312" w:eastAsia="仿宋_GB2312" w:hAnsi="Times New Roman" w:cs="Times New Roman"/>
                <w:kern w:val="0"/>
                <w:sz w:val="24"/>
                <w:szCs w:val="24"/>
              </w:rPr>
            </w:pPr>
            <w:r>
              <w:rPr>
                <w:rFonts w:ascii="仿宋_GB2312" w:eastAsia="仿宋_GB2312" w:hAnsi="Times New Roman" w:cs="Microsoft JhengHei" w:hint="eastAsia"/>
                <w:kern w:val="0"/>
                <w:sz w:val="28"/>
                <w:szCs w:val="28"/>
              </w:rPr>
              <w:t>意见或建议</w:t>
            </w:r>
          </w:p>
        </w:tc>
      </w:tr>
      <w:tr w:rsidR="009F0FF5" w14:paraId="74574E08" w14:textId="77777777">
        <w:trPr>
          <w:trHeight w:hRule="exact" w:val="4372"/>
        </w:trPr>
        <w:tc>
          <w:tcPr>
            <w:tcW w:w="8687" w:type="dxa"/>
            <w:gridSpan w:val="4"/>
            <w:tcBorders>
              <w:top w:val="single" w:sz="4" w:space="0" w:color="000000"/>
              <w:left w:val="single" w:sz="4" w:space="0" w:color="000000"/>
              <w:bottom w:val="single" w:sz="4" w:space="0" w:color="000000"/>
              <w:right w:val="single" w:sz="4" w:space="0" w:color="000000"/>
            </w:tcBorders>
          </w:tcPr>
          <w:p w14:paraId="22CA8F89" w14:textId="77777777" w:rsidR="009F0FF5" w:rsidRDefault="009F0FF5">
            <w:pPr>
              <w:autoSpaceDE w:val="0"/>
              <w:autoSpaceDN w:val="0"/>
              <w:adjustRightInd w:val="0"/>
              <w:ind w:left="178" w:right="-20"/>
              <w:jc w:val="left"/>
              <w:rPr>
                <w:rFonts w:ascii="仿宋_GB2312" w:eastAsia="仿宋_GB2312" w:hAnsi="Times New Roman" w:cs="Times New Roman"/>
                <w:kern w:val="0"/>
                <w:sz w:val="24"/>
                <w:szCs w:val="24"/>
              </w:rPr>
            </w:pPr>
          </w:p>
        </w:tc>
      </w:tr>
      <w:tr w:rsidR="009F0FF5" w14:paraId="4AD2E86F" w14:textId="77777777">
        <w:trPr>
          <w:trHeight w:hRule="exact" w:val="3380"/>
        </w:trPr>
        <w:tc>
          <w:tcPr>
            <w:tcW w:w="8687" w:type="dxa"/>
            <w:gridSpan w:val="4"/>
            <w:tcBorders>
              <w:top w:val="single" w:sz="4" w:space="0" w:color="000000"/>
              <w:left w:val="single" w:sz="4" w:space="0" w:color="000000"/>
              <w:bottom w:val="single" w:sz="4" w:space="0" w:color="000000"/>
              <w:right w:val="single" w:sz="4" w:space="0" w:color="000000"/>
            </w:tcBorders>
          </w:tcPr>
          <w:p w14:paraId="32AB17A2" w14:textId="77777777" w:rsidR="009F0FF5" w:rsidRDefault="009F0FF5">
            <w:pPr>
              <w:autoSpaceDE w:val="0"/>
              <w:autoSpaceDN w:val="0"/>
              <w:adjustRightInd w:val="0"/>
              <w:spacing w:before="2" w:line="110" w:lineRule="exact"/>
              <w:jc w:val="left"/>
              <w:rPr>
                <w:rFonts w:ascii="仿宋_GB2312" w:eastAsia="仿宋_GB2312" w:hAnsi="Times New Roman" w:cs="Times New Roman"/>
                <w:kern w:val="0"/>
                <w:sz w:val="11"/>
                <w:szCs w:val="11"/>
              </w:rPr>
            </w:pPr>
          </w:p>
          <w:p w14:paraId="197817CC" w14:textId="77777777" w:rsidR="009F0FF5" w:rsidRDefault="009F0FF5">
            <w:pPr>
              <w:autoSpaceDE w:val="0"/>
              <w:autoSpaceDN w:val="0"/>
              <w:adjustRightInd w:val="0"/>
              <w:spacing w:line="200" w:lineRule="exact"/>
              <w:jc w:val="left"/>
              <w:rPr>
                <w:rFonts w:ascii="仿宋_GB2312" w:eastAsia="仿宋_GB2312" w:hAnsi="Times New Roman" w:cs="Times New Roman"/>
                <w:kern w:val="0"/>
                <w:sz w:val="20"/>
                <w:szCs w:val="20"/>
              </w:rPr>
            </w:pPr>
          </w:p>
          <w:p w14:paraId="73EBA0D3" w14:textId="77777777" w:rsidR="009F0FF5" w:rsidRDefault="001C522C">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kern w:val="0"/>
                <w:sz w:val="28"/>
                <w:szCs w:val="28"/>
              </w:rPr>
              <w:t>姓名</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（印刷体</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2"/>
                <w:kern w:val="0"/>
                <w:sz w:val="28"/>
                <w:szCs w:val="28"/>
                <w:u w:val="single"/>
              </w:rPr>
              <w:t xml:space="preserve"> </w:t>
            </w:r>
            <w:r>
              <w:rPr>
                <w:rFonts w:ascii="仿宋_GB2312" w:eastAsia="仿宋_GB2312" w:hAnsi="Times New Roman" w:cs="Microsoft JhengHei"/>
                <w:spacing w:val="2"/>
                <w:kern w:val="0"/>
                <w:sz w:val="28"/>
                <w:szCs w:val="28"/>
                <w:u w:val="single"/>
              </w:rPr>
              <w:t xml:space="preserve">       </w:t>
            </w:r>
            <w:r>
              <w:rPr>
                <w:rFonts w:ascii="仿宋_GB2312" w:eastAsia="仿宋_GB2312" w:hAnsi="Times New Roman" w:cs="Microsoft JhengHei"/>
                <w:spacing w:val="69"/>
                <w:kern w:val="0"/>
                <w:sz w:val="28"/>
                <w:szCs w:val="28"/>
                <w:u w:val="single"/>
              </w:rPr>
              <w:t xml:space="preserve">     </w:t>
            </w:r>
            <w:r>
              <w:rPr>
                <w:rFonts w:ascii="仿宋_GB2312" w:eastAsia="仿宋_GB2312" w:hAnsi="Times New Roman" w:cs="Microsoft JhengHei" w:hint="eastAsia"/>
                <w:kern w:val="0"/>
                <w:sz w:val="28"/>
                <w:szCs w:val="28"/>
              </w:rPr>
              <w:t>（签名）</w:t>
            </w:r>
            <w:r>
              <w:rPr>
                <w:rFonts w:ascii="仿宋_GB2312" w:eastAsia="仿宋_GB2312" w:hAnsi="Times New Roman" w:cs="Microsoft JhengHei" w:hint="eastAsia"/>
                <w:kern w:val="0"/>
                <w:sz w:val="28"/>
                <w:szCs w:val="28"/>
              </w:rPr>
              <w:t xml:space="preserve"> </w:t>
            </w:r>
          </w:p>
          <w:p w14:paraId="149F83B6" w14:textId="77777777" w:rsidR="009F0FF5" w:rsidRDefault="001C522C">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kern w:val="0"/>
                <w:sz w:val="28"/>
                <w:szCs w:val="28"/>
              </w:rPr>
              <w:t>电话</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传真</w:t>
            </w:r>
            <w:r>
              <w:rPr>
                <w:rFonts w:ascii="仿宋_GB2312" w:eastAsia="仿宋_GB2312" w:hAnsi="Times New Roman" w:cs="Microsoft JhengHei" w:hint="eastAsia"/>
                <w:spacing w:val="2"/>
                <w:kern w:val="0"/>
                <w:sz w:val="28"/>
                <w:szCs w:val="28"/>
              </w:rPr>
              <w:t>：</w:t>
            </w:r>
            <w:r>
              <w:rPr>
                <w:rFonts w:ascii="仿宋_GB2312" w:eastAsia="仿宋_GB2312" w:hAnsi="Times New Roman" w:cs="Microsoft JhengHei" w:hint="eastAsia"/>
                <w:spacing w:val="6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w w:val="99"/>
                <w:kern w:val="0"/>
                <w:sz w:val="28"/>
                <w:szCs w:val="28"/>
              </w:rPr>
              <w:t>电子邮箱：</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 xml:space="preserve"> </w:t>
            </w:r>
          </w:p>
          <w:p w14:paraId="6F7EB02D" w14:textId="77777777" w:rsidR="009F0FF5" w:rsidRDefault="001C522C">
            <w:pPr>
              <w:tabs>
                <w:tab w:val="left" w:pos="2760"/>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Microsoft JhengHei"/>
                <w:kern w:val="0"/>
                <w:sz w:val="28"/>
                <w:szCs w:val="28"/>
              </w:rPr>
            </w:pPr>
            <w:r>
              <w:rPr>
                <w:rFonts w:ascii="仿宋_GB2312" w:eastAsia="仿宋_GB2312" w:hAnsi="Times New Roman" w:cs="Microsoft JhengHei" w:hint="eastAsia"/>
                <w:w w:val="99"/>
                <w:kern w:val="0"/>
                <w:sz w:val="28"/>
                <w:szCs w:val="28"/>
              </w:rPr>
              <w:t>通信地址</w:t>
            </w:r>
            <w:r>
              <w:rPr>
                <w:rFonts w:ascii="仿宋_GB2312" w:eastAsia="仿宋_GB2312" w:hAnsi="Times New Roman" w:cs="Microsoft JhengHei" w:hint="eastAsia"/>
                <w:spacing w:val="2"/>
                <w:w w:val="99"/>
                <w:kern w:val="0"/>
                <w:sz w:val="28"/>
                <w:szCs w:val="28"/>
              </w:rPr>
              <w:t>：</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u w:val="single"/>
              </w:rPr>
              <w:tab/>
            </w:r>
            <w:r>
              <w:rPr>
                <w:rFonts w:ascii="仿宋_GB2312" w:eastAsia="仿宋_GB2312" w:hAnsi="Times New Roman" w:cs="Microsoft JhengHei" w:hint="eastAsia"/>
                <w:kern w:val="0"/>
                <w:sz w:val="28"/>
                <w:szCs w:val="28"/>
              </w:rPr>
              <w:t xml:space="preserve"> </w:t>
            </w:r>
          </w:p>
          <w:p w14:paraId="5EA1641F" w14:textId="77777777" w:rsidR="009F0FF5" w:rsidRDefault="001C522C">
            <w:pPr>
              <w:tabs>
                <w:tab w:val="left" w:pos="3318"/>
                <w:tab w:val="left" w:pos="3460"/>
                <w:tab w:val="left" w:pos="5280"/>
                <w:tab w:val="left" w:pos="8080"/>
                <w:tab w:val="left" w:pos="9200"/>
              </w:tabs>
              <w:autoSpaceDE w:val="0"/>
              <w:autoSpaceDN w:val="0"/>
              <w:adjustRightInd w:val="0"/>
              <w:spacing w:line="311" w:lineRule="auto"/>
              <w:ind w:left="107" w:right="44"/>
              <w:rPr>
                <w:rFonts w:ascii="仿宋_GB2312" w:eastAsia="仿宋_GB2312" w:hAnsi="Times New Roman" w:cs="Times New Roman"/>
                <w:kern w:val="0"/>
                <w:sz w:val="24"/>
                <w:szCs w:val="24"/>
              </w:rPr>
            </w:pPr>
            <w:r>
              <w:rPr>
                <w:rFonts w:ascii="仿宋_GB2312" w:eastAsia="仿宋_GB2312" w:hAnsi="Times New Roman" w:cs="Microsoft JhengHei" w:hint="eastAsia"/>
                <w:w w:val="99"/>
                <w:kern w:val="0"/>
                <w:sz w:val="28"/>
                <w:szCs w:val="28"/>
              </w:rPr>
              <w:t>日期</w:t>
            </w:r>
            <w:r>
              <w:rPr>
                <w:rFonts w:ascii="仿宋_GB2312" w:eastAsia="仿宋_GB2312" w:hAnsi="Times New Roman" w:cs="Microsoft JhengHei" w:hint="eastAsia"/>
                <w:spacing w:val="2"/>
                <w:w w:val="99"/>
                <w:kern w:val="0"/>
                <w:sz w:val="28"/>
                <w:szCs w:val="28"/>
              </w:rPr>
              <w:t>：</w:t>
            </w:r>
            <w:r>
              <w:rPr>
                <w:rFonts w:ascii="仿宋_GB2312" w:eastAsia="仿宋_GB2312" w:hAnsi="Times New Roman" w:cs="Microsoft JhengHei" w:hint="eastAsia"/>
                <w:w w:val="199"/>
                <w:kern w:val="0"/>
                <w:sz w:val="28"/>
                <w:szCs w:val="28"/>
                <w:u w:val="single"/>
              </w:rPr>
              <w:t xml:space="preserve"> </w:t>
            </w:r>
            <w:r>
              <w:rPr>
                <w:rFonts w:ascii="仿宋_GB2312" w:eastAsia="仿宋_GB2312" w:hAnsi="Times New Roman" w:cs="Microsoft JhengHei" w:hint="eastAsia"/>
                <w:kern w:val="0"/>
                <w:sz w:val="28"/>
                <w:szCs w:val="28"/>
                <w:u w:val="single"/>
              </w:rPr>
              <w:tab/>
            </w:r>
          </w:p>
        </w:tc>
      </w:tr>
    </w:tbl>
    <w:p w14:paraId="57650EF0" w14:textId="77777777" w:rsidR="009F0FF5" w:rsidRDefault="001C522C">
      <w:pPr>
        <w:autoSpaceDE w:val="0"/>
        <w:autoSpaceDN w:val="0"/>
        <w:adjustRightInd w:val="0"/>
        <w:spacing w:line="278" w:lineRule="exact"/>
        <w:ind w:left="118" w:right="-20" w:firstLineChars="100" w:firstLine="210"/>
        <w:jc w:val="left"/>
        <w:rPr>
          <w:rFonts w:cs="Times New Roman"/>
          <w:sz w:val="28"/>
          <w:szCs w:val="28"/>
        </w:rPr>
      </w:pPr>
      <w:r>
        <w:rPr>
          <w:rFonts w:ascii="Times New Roman" w:hAnsi="Times New Roman" w:cs="Times New Roman" w:hint="eastAsia"/>
          <w:kern w:val="0"/>
        </w:rPr>
        <w:t>表</w:t>
      </w:r>
      <w:r>
        <w:rPr>
          <w:rFonts w:ascii="Times New Roman" w:hAnsi="Times New Roman" w:cs="Times New Roman" w:hint="eastAsia"/>
          <w:kern w:val="0"/>
        </w:rPr>
        <w:t>-21-145-2023</w:t>
      </w:r>
    </w:p>
    <w:sectPr w:rsidR="009F0F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856395"/>
    <w:multiLevelType w:val="multilevel"/>
    <w:tmpl w:val="5A856395"/>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FFA264A"/>
    <w:multiLevelType w:val="multilevel"/>
    <w:tmpl w:val="6FFA264A"/>
    <w:lvl w:ilvl="0">
      <w:start w:val="1"/>
      <w:numFmt w:val="decimal"/>
      <w:lvlText w:val="(%1)"/>
      <w:lvlJc w:val="left"/>
      <w:pPr>
        <w:ind w:left="720" w:hanging="7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2MDBiMDVmNjkxODJiY2ZhYTE3ODcwZDU3NDJjODcifQ=="/>
  </w:docVars>
  <w:rsids>
    <w:rsidRoot w:val="00172A27"/>
    <w:rsid w:val="BD7760DD"/>
    <w:rsid w:val="00023EEE"/>
    <w:rsid w:val="0004275E"/>
    <w:rsid w:val="00050FE8"/>
    <w:rsid w:val="000537FF"/>
    <w:rsid w:val="00056653"/>
    <w:rsid w:val="00067391"/>
    <w:rsid w:val="000678DA"/>
    <w:rsid w:val="00083B8D"/>
    <w:rsid w:val="0008766C"/>
    <w:rsid w:val="000D747A"/>
    <w:rsid w:val="000E3ADD"/>
    <w:rsid w:val="000F62A7"/>
    <w:rsid w:val="00123C7D"/>
    <w:rsid w:val="00172A27"/>
    <w:rsid w:val="0019370B"/>
    <w:rsid w:val="001A1FFA"/>
    <w:rsid w:val="001B3507"/>
    <w:rsid w:val="001C522C"/>
    <w:rsid w:val="001E6BC6"/>
    <w:rsid w:val="001F19F8"/>
    <w:rsid w:val="001F202B"/>
    <w:rsid w:val="001F7D58"/>
    <w:rsid w:val="00212156"/>
    <w:rsid w:val="002203A8"/>
    <w:rsid w:val="0022172A"/>
    <w:rsid w:val="00227A4A"/>
    <w:rsid w:val="002374F4"/>
    <w:rsid w:val="002431BE"/>
    <w:rsid w:val="002506B4"/>
    <w:rsid w:val="00276806"/>
    <w:rsid w:val="00277F4C"/>
    <w:rsid w:val="002936B9"/>
    <w:rsid w:val="002B2190"/>
    <w:rsid w:val="002C16F3"/>
    <w:rsid w:val="002C400B"/>
    <w:rsid w:val="002D7377"/>
    <w:rsid w:val="002E791E"/>
    <w:rsid w:val="00315475"/>
    <w:rsid w:val="00364360"/>
    <w:rsid w:val="003813FB"/>
    <w:rsid w:val="003828E1"/>
    <w:rsid w:val="00390CF7"/>
    <w:rsid w:val="003B43CE"/>
    <w:rsid w:val="003B532A"/>
    <w:rsid w:val="003E5933"/>
    <w:rsid w:val="003F3A52"/>
    <w:rsid w:val="0041373F"/>
    <w:rsid w:val="00432D39"/>
    <w:rsid w:val="004C0D9C"/>
    <w:rsid w:val="004D6B56"/>
    <w:rsid w:val="004E09CE"/>
    <w:rsid w:val="004E537F"/>
    <w:rsid w:val="004E58FA"/>
    <w:rsid w:val="004F0E11"/>
    <w:rsid w:val="004F3A59"/>
    <w:rsid w:val="005119D7"/>
    <w:rsid w:val="0051521D"/>
    <w:rsid w:val="005222A0"/>
    <w:rsid w:val="00523CFC"/>
    <w:rsid w:val="0055344A"/>
    <w:rsid w:val="00577D42"/>
    <w:rsid w:val="005B024D"/>
    <w:rsid w:val="005C52D6"/>
    <w:rsid w:val="005D2CB9"/>
    <w:rsid w:val="005E74D8"/>
    <w:rsid w:val="005F6A8D"/>
    <w:rsid w:val="006178C4"/>
    <w:rsid w:val="0064505D"/>
    <w:rsid w:val="00666F78"/>
    <w:rsid w:val="006815D7"/>
    <w:rsid w:val="006924FE"/>
    <w:rsid w:val="00693BF9"/>
    <w:rsid w:val="006A0AE8"/>
    <w:rsid w:val="006D0497"/>
    <w:rsid w:val="0070053C"/>
    <w:rsid w:val="00701B26"/>
    <w:rsid w:val="0074559F"/>
    <w:rsid w:val="00793D25"/>
    <w:rsid w:val="00795F67"/>
    <w:rsid w:val="00796213"/>
    <w:rsid w:val="00797C76"/>
    <w:rsid w:val="007B2E1D"/>
    <w:rsid w:val="007B5FEF"/>
    <w:rsid w:val="00804080"/>
    <w:rsid w:val="0083487E"/>
    <w:rsid w:val="0083566B"/>
    <w:rsid w:val="0084723D"/>
    <w:rsid w:val="00856CAF"/>
    <w:rsid w:val="008656AB"/>
    <w:rsid w:val="008879B4"/>
    <w:rsid w:val="00893936"/>
    <w:rsid w:val="008955B8"/>
    <w:rsid w:val="008A3064"/>
    <w:rsid w:val="008B5A49"/>
    <w:rsid w:val="008C395F"/>
    <w:rsid w:val="008C6B89"/>
    <w:rsid w:val="008D3E9D"/>
    <w:rsid w:val="008E1EEB"/>
    <w:rsid w:val="008F6481"/>
    <w:rsid w:val="00915D99"/>
    <w:rsid w:val="00923377"/>
    <w:rsid w:val="00931EE9"/>
    <w:rsid w:val="00943420"/>
    <w:rsid w:val="00957AE8"/>
    <w:rsid w:val="00971606"/>
    <w:rsid w:val="00990357"/>
    <w:rsid w:val="00997364"/>
    <w:rsid w:val="009B347C"/>
    <w:rsid w:val="009E0D2E"/>
    <w:rsid w:val="009F0FF5"/>
    <w:rsid w:val="00A075B2"/>
    <w:rsid w:val="00A1350A"/>
    <w:rsid w:val="00A1781C"/>
    <w:rsid w:val="00A2488D"/>
    <w:rsid w:val="00A3141B"/>
    <w:rsid w:val="00A54690"/>
    <w:rsid w:val="00A74A2E"/>
    <w:rsid w:val="00AB43E3"/>
    <w:rsid w:val="00AC0593"/>
    <w:rsid w:val="00AD2E20"/>
    <w:rsid w:val="00AD5D13"/>
    <w:rsid w:val="00AD758D"/>
    <w:rsid w:val="00AE44D5"/>
    <w:rsid w:val="00AE4C09"/>
    <w:rsid w:val="00AE512D"/>
    <w:rsid w:val="00B12DFA"/>
    <w:rsid w:val="00B1431D"/>
    <w:rsid w:val="00B150FE"/>
    <w:rsid w:val="00B32BBA"/>
    <w:rsid w:val="00B561FE"/>
    <w:rsid w:val="00B64D7D"/>
    <w:rsid w:val="00B6777A"/>
    <w:rsid w:val="00BA0E96"/>
    <w:rsid w:val="00BE7215"/>
    <w:rsid w:val="00BF439E"/>
    <w:rsid w:val="00C04CD5"/>
    <w:rsid w:val="00C26606"/>
    <w:rsid w:val="00C30A57"/>
    <w:rsid w:val="00C4486D"/>
    <w:rsid w:val="00C50E6F"/>
    <w:rsid w:val="00C529B9"/>
    <w:rsid w:val="00C5629D"/>
    <w:rsid w:val="00C6376F"/>
    <w:rsid w:val="00C7009E"/>
    <w:rsid w:val="00C716E2"/>
    <w:rsid w:val="00C92117"/>
    <w:rsid w:val="00CA57B8"/>
    <w:rsid w:val="00D00395"/>
    <w:rsid w:val="00D0248D"/>
    <w:rsid w:val="00D21475"/>
    <w:rsid w:val="00D609F2"/>
    <w:rsid w:val="00D8461F"/>
    <w:rsid w:val="00D86192"/>
    <w:rsid w:val="00D90C4C"/>
    <w:rsid w:val="00DA3DDC"/>
    <w:rsid w:val="00DD5FE1"/>
    <w:rsid w:val="00DF0776"/>
    <w:rsid w:val="00DF7C8F"/>
    <w:rsid w:val="00E026B6"/>
    <w:rsid w:val="00E21B3A"/>
    <w:rsid w:val="00E36E2E"/>
    <w:rsid w:val="00E50408"/>
    <w:rsid w:val="00E60235"/>
    <w:rsid w:val="00E62AB1"/>
    <w:rsid w:val="00EA6C09"/>
    <w:rsid w:val="00EB0E34"/>
    <w:rsid w:val="00EC6710"/>
    <w:rsid w:val="00ED2085"/>
    <w:rsid w:val="00F262EF"/>
    <w:rsid w:val="00F7222B"/>
    <w:rsid w:val="00F74980"/>
    <w:rsid w:val="00FA46BA"/>
    <w:rsid w:val="00FC0FBC"/>
    <w:rsid w:val="00FF3E44"/>
    <w:rsid w:val="00FF5046"/>
    <w:rsid w:val="00FF52C3"/>
    <w:rsid w:val="01022FB5"/>
    <w:rsid w:val="01BD4FB7"/>
    <w:rsid w:val="040E5A95"/>
    <w:rsid w:val="05BA6B77"/>
    <w:rsid w:val="0967680D"/>
    <w:rsid w:val="0F4247B5"/>
    <w:rsid w:val="0F8A2B0D"/>
    <w:rsid w:val="14277F46"/>
    <w:rsid w:val="14B545B5"/>
    <w:rsid w:val="1E5262C5"/>
    <w:rsid w:val="1E674B72"/>
    <w:rsid w:val="1E682698"/>
    <w:rsid w:val="20670189"/>
    <w:rsid w:val="21AE1F91"/>
    <w:rsid w:val="2247416E"/>
    <w:rsid w:val="22E06980"/>
    <w:rsid w:val="25970BBB"/>
    <w:rsid w:val="29237875"/>
    <w:rsid w:val="2AFC55AC"/>
    <w:rsid w:val="2B595843"/>
    <w:rsid w:val="2C7E1B56"/>
    <w:rsid w:val="2CD77367"/>
    <w:rsid w:val="2D5032FD"/>
    <w:rsid w:val="2DB66F7C"/>
    <w:rsid w:val="2E381A86"/>
    <w:rsid w:val="303469C6"/>
    <w:rsid w:val="322B465C"/>
    <w:rsid w:val="3A94481A"/>
    <w:rsid w:val="3B5D4EDB"/>
    <w:rsid w:val="3C1C08F2"/>
    <w:rsid w:val="3C7050E2"/>
    <w:rsid w:val="3D0F2205"/>
    <w:rsid w:val="3F900265"/>
    <w:rsid w:val="476B32D0"/>
    <w:rsid w:val="4E6C395B"/>
    <w:rsid w:val="50AB1516"/>
    <w:rsid w:val="51064F9C"/>
    <w:rsid w:val="512E314A"/>
    <w:rsid w:val="515742F7"/>
    <w:rsid w:val="5159693E"/>
    <w:rsid w:val="546D5735"/>
    <w:rsid w:val="58501BF8"/>
    <w:rsid w:val="592E29C9"/>
    <w:rsid w:val="5EDF0A6C"/>
    <w:rsid w:val="61B56B12"/>
    <w:rsid w:val="627C55C1"/>
    <w:rsid w:val="65BE50D4"/>
    <w:rsid w:val="65D701F7"/>
    <w:rsid w:val="68550E46"/>
    <w:rsid w:val="69C56E4D"/>
    <w:rsid w:val="6F755D6A"/>
    <w:rsid w:val="70205EFC"/>
    <w:rsid w:val="710350DD"/>
    <w:rsid w:val="77CB4B7B"/>
    <w:rsid w:val="7DED50EE"/>
    <w:rsid w:val="7E414461"/>
    <w:rsid w:val="7FEF48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1573713-5D37-459B-8AC0-4FE5925B5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uiPriority="0" w:unhideWhenUsed="1" w:qFormat="1"/>
    <w:lsdException w:name="heading 3" w:locked="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uiPriority="0" w:qFormat="1"/>
    <w:lsdException w:name="footer" w:semiHidden="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EastAsia" w:hAnsiTheme="minorEastAsia" w:cs="Calibri"/>
      <w:kern w:val="2"/>
      <w:sz w:val="21"/>
      <w:szCs w:val="21"/>
    </w:rPr>
  </w:style>
  <w:style w:type="paragraph" w:styleId="2">
    <w:name w:val="heading 2"/>
    <w:basedOn w:val="a"/>
    <w:next w:val="a"/>
    <w:link w:val="2Char"/>
    <w:unhideWhenUsed/>
    <w:qFormat/>
    <w:lock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locked/>
    <w:pPr>
      <w:keepNext/>
      <w:keepLines/>
      <w:spacing w:before="260" w:after="260" w:line="413" w:lineRule="auto"/>
      <w:outlineLvl w:val="2"/>
    </w:pPr>
    <w:rPr>
      <w:b/>
      <w:sz w:val="32"/>
    </w:rPr>
  </w:style>
  <w:style w:type="paragraph" w:styleId="4">
    <w:name w:val="heading 4"/>
    <w:basedOn w:val="a"/>
    <w:next w:val="a"/>
    <w:link w:val="4Char"/>
    <w:semiHidden/>
    <w:unhideWhenUsed/>
    <w:qFormat/>
    <w:locked/>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uiPriority w:val="1"/>
    <w:unhideWhenUsed/>
    <w:qFormat/>
    <w:rPr>
      <w:sz w:val="28"/>
      <w:szCs w:val="24"/>
    </w:rPr>
  </w:style>
  <w:style w:type="paragraph" w:styleId="a5">
    <w:name w:val="Balloon Text"/>
    <w:basedOn w:val="a"/>
    <w:link w:val="Char0"/>
    <w:uiPriority w:val="99"/>
    <w:semiHidden/>
    <w:qFormat/>
    <w:rPr>
      <w:sz w:val="18"/>
      <w:szCs w:val="18"/>
    </w:rPr>
  </w:style>
  <w:style w:type="paragraph" w:styleId="a6">
    <w:name w:val="footer"/>
    <w:basedOn w:val="a"/>
    <w:link w:val="Char1"/>
    <w:uiPriority w:val="99"/>
    <w:semiHidden/>
    <w:qFormat/>
    <w:pPr>
      <w:tabs>
        <w:tab w:val="center" w:pos="4153"/>
        <w:tab w:val="right" w:pos="8306"/>
      </w:tabs>
      <w:snapToGrid w:val="0"/>
      <w:jc w:val="left"/>
    </w:pPr>
    <w:rPr>
      <w:sz w:val="18"/>
      <w:szCs w:val="18"/>
    </w:rPr>
  </w:style>
  <w:style w:type="paragraph" w:styleId="a7">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3"/>
    <w:qFormat/>
    <w:pPr>
      <w:spacing w:line="360" w:lineRule="auto"/>
      <w:ind w:firstLineChars="200" w:firstLine="200"/>
    </w:pPr>
    <w:rPr>
      <w:rFonts w:ascii="Times New Roman" w:eastAsia="仿宋_GB2312" w:hAnsi="Times New Roman" w:cs="Times New Roman"/>
      <w:sz w:val="28"/>
      <w:szCs w:val="28"/>
    </w:rPr>
  </w:style>
  <w:style w:type="table" w:styleId="a9">
    <w:name w:val="Table Grid"/>
    <w:basedOn w:val="a1"/>
    <w:uiPriority w:val="59"/>
    <w:qFormat/>
    <w:locked/>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page number"/>
    <w:qFormat/>
  </w:style>
  <w:style w:type="character" w:styleId="ab">
    <w:name w:val="Emphasis"/>
    <w:basedOn w:val="a0"/>
    <w:qFormat/>
    <w:locked/>
    <w:rPr>
      <w:i/>
    </w:rPr>
  </w:style>
  <w:style w:type="character" w:styleId="ac">
    <w:name w:val="annotation reference"/>
    <w:basedOn w:val="a0"/>
    <w:uiPriority w:val="99"/>
    <w:semiHidden/>
    <w:unhideWhenUsed/>
    <w:qFormat/>
    <w:rPr>
      <w:sz w:val="21"/>
      <w:szCs w:val="21"/>
    </w:rPr>
  </w:style>
  <w:style w:type="paragraph" w:customStyle="1" w:styleId="Default">
    <w:name w:val="Default"/>
    <w:uiPriority w:val="99"/>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2">
    <w:name w:val="页眉 Char"/>
    <w:basedOn w:val="a0"/>
    <w:link w:val="a7"/>
    <w:qFormat/>
    <w:locked/>
    <w:rPr>
      <w:sz w:val="18"/>
      <w:szCs w:val="18"/>
    </w:rPr>
  </w:style>
  <w:style w:type="character" w:customStyle="1" w:styleId="Char1">
    <w:name w:val="页脚 Char"/>
    <w:basedOn w:val="a0"/>
    <w:link w:val="a6"/>
    <w:uiPriority w:val="99"/>
    <w:semiHidden/>
    <w:qFormat/>
    <w:locked/>
    <w:rPr>
      <w:sz w:val="18"/>
      <w:szCs w:val="18"/>
    </w:rPr>
  </w:style>
  <w:style w:type="character" w:customStyle="1" w:styleId="Char0">
    <w:name w:val="批注框文本 Char"/>
    <w:basedOn w:val="a0"/>
    <w:link w:val="a5"/>
    <w:uiPriority w:val="99"/>
    <w:semiHidden/>
    <w:qFormat/>
    <w:locked/>
    <w:rPr>
      <w:sz w:val="18"/>
      <w:szCs w:val="18"/>
    </w:rPr>
  </w:style>
  <w:style w:type="paragraph" w:styleId="ad">
    <w:name w:val="List Paragraph"/>
    <w:basedOn w:val="a"/>
    <w:uiPriority w:val="34"/>
    <w:qFormat/>
    <w:pPr>
      <w:ind w:firstLineChars="200" w:firstLine="420"/>
    </w:pPr>
  </w:style>
  <w:style w:type="character" w:customStyle="1" w:styleId="Char3">
    <w:name w:val="批注主题 Char"/>
    <w:basedOn w:val="Char"/>
    <w:link w:val="a8"/>
    <w:qFormat/>
    <w:rPr>
      <w:rFonts w:ascii="Times New Roman" w:eastAsia="仿宋_GB2312" w:hAnsi="Times New Roman" w:cs="Calibri"/>
      <w:sz w:val="28"/>
      <w:szCs w:val="28"/>
    </w:rPr>
  </w:style>
  <w:style w:type="character" w:customStyle="1" w:styleId="Char">
    <w:name w:val="批注文字 Char"/>
    <w:basedOn w:val="a0"/>
    <w:link w:val="a3"/>
    <w:uiPriority w:val="99"/>
    <w:semiHidden/>
    <w:qFormat/>
    <w:rPr>
      <w:rFonts w:cs="Calibri"/>
      <w:szCs w:val="21"/>
    </w:rPr>
  </w:style>
  <w:style w:type="character" w:customStyle="1" w:styleId="Char10">
    <w:name w:val="批注主题 Char1"/>
    <w:basedOn w:val="Char"/>
    <w:uiPriority w:val="99"/>
    <w:semiHidden/>
    <w:qFormat/>
    <w:rPr>
      <w:rFonts w:cs="Calibri"/>
      <w:b/>
      <w:bCs/>
      <w:szCs w:val="21"/>
    </w:rPr>
  </w:style>
  <w:style w:type="paragraph" w:customStyle="1" w:styleId="ae">
    <w:name w:val="正文内容"/>
    <w:basedOn w:val="a"/>
    <w:qFormat/>
    <w:pPr>
      <w:ind w:firstLineChars="200" w:firstLine="200"/>
    </w:pPr>
    <w:rPr>
      <w:rFonts w:ascii="Arial" w:hAnsi="Arial"/>
    </w:rPr>
  </w:style>
  <w:style w:type="paragraph" w:customStyle="1" w:styleId="1">
    <w:name w:val="修订1"/>
    <w:hidden/>
    <w:uiPriority w:val="99"/>
    <w:unhideWhenUsed/>
    <w:qFormat/>
    <w:rPr>
      <w:rFonts w:ascii="Calibri" w:hAnsi="Calibri" w:cs="Calibri"/>
      <w:kern w:val="2"/>
      <w:sz w:val="21"/>
      <w:szCs w:val="21"/>
    </w:rPr>
  </w:style>
  <w:style w:type="paragraph" w:customStyle="1" w:styleId="20">
    <w:name w:val="修订2"/>
    <w:hidden/>
    <w:uiPriority w:val="99"/>
    <w:semiHidden/>
    <w:qFormat/>
    <w:rPr>
      <w:rFonts w:asciiTheme="minorEastAsia" w:hAnsiTheme="minorEastAsia" w:cs="Calibri"/>
      <w:kern w:val="2"/>
      <w:sz w:val="21"/>
      <w:szCs w:val="21"/>
    </w:rPr>
  </w:style>
  <w:style w:type="character" w:customStyle="1" w:styleId="3Char">
    <w:name w:val="标题 3 Char"/>
    <w:link w:val="3"/>
    <w:qFormat/>
    <w:rPr>
      <w:b/>
      <w:sz w:val="32"/>
    </w:rPr>
  </w:style>
  <w:style w:type="character" w:customStyle="1" w:styleId="4Char">
    <w:name w:val="标题 4 Char"/>
    <w:link w:val="4"/>
    <w:qFormat/>
    <w:rPr>
      <w:rFonts w:ascii="Arial" w:eastAsia="黑体" w:hAnsi="Arial"/>
      <w:b/>
      <w:sz w:val="28"/>
    </w:rPr>
  </w:style>
  <w:style w:type="character" w:customStyle="1" w:styleId="2Char">
    <w:name w:val="标题 2 Char"/>
    <w:basedOn w:val="a0"/>
    <w:link w:val="2"/>
    <w:qFormat/>
    <w:rPr>
      <w:rFonts w:asciiTheme="majorHAnsi" w:eastAsiaTheme="majorEastAsia" w:hAnsiTheme="majorHAnsi" w:cstheme="majorBidi"/>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263</Words>
  <Characters>1504</Characters>
  <Application>Microsoft Office Word</Application>
  <DocSecurity>0</DocSecurity>
  <Lines>12</Lines>
  <Paragraphs>3</Paragraphs>
  <ScaleCrop>false</ScaleCrop>
  <Company>Comac</Company>
  <LinksUpToDate>false</LinksUpToDate>
  <CharactersWithSpaces>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王丹</dc:creator>
  <cp:lastModifiedBy>康冠群</cp:lastModifiedBy>
  <cp:revision>3</cp:revision>
  <dcterms:created xsi:type="dcterms:W3CDTF">2025-02-21T03:25:00Z</dcterms:created>
  <dcterms:modified xsi:type="dcterms:W3CDTF">2025-02-27T12:50:00Z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75588C2EA103469781AA4CE889C704E9_13</vt:lpwstr>
  </property>
  <property fmtid="{D5CDD505-2E9C-101B-9397-08002B2CF9AE}" pid="4" name="KSOTemplateDocerSaveRecord">
    <vt:lpwstr>eyJoZGlkIjoiMzEwNTM5NzYwMDRjMzkwZTVkZjY2ODkwMGIxNGU0OTUiLCJ1c2VySWQiOiIzMjI0ODkyOTUifQ==</vt:lpwstr>
  </property>
  <property fmtid="{D5CDD505-2E9C-101B-9397-08002B2CF9AE}" pid="5" name="_IPGFID">
    <vt:lpwstr>[DocID]=DC6A842C-B783-4EAB-8FE3-44FADC344E84</vt:lpwstr>
  </property>
  <property fmtid="{D5CDD505-2E9C-101B-9397-08002B2CF9AE}" pid="6" name="_IPGFLOW_P-B7C1_E-1_FP-1_SP-1_CV-42D8213A_CN-220C8084">
    <vt:lpwstr>egi68nhWYve3RDUzEuiiH/9VRufeMhiz1S//KJH0TDWhxCGB+coegehvWZHSQy1/4WrQ1ysGmXdWeS8Y0yaeGnGB0ucOUiBP5OMuQxy1KJE7D5lNQ3NZJxIZJnqorEqnHIDf4CPTpgotuaFg18EBFhTu7j0m3T+/gLwT9OTuwf9Xwn4ZZ5Yk7qnlec+SH/ECAG270NgWqYhDFG0LZ+g77MFNRWp7Ly20KB9swP6DGuDbYSaU1BfxXi1Qqq42cdT</vt:lpwstr>
  </property>
  <property fmtid="{D5CDD505-2E9C-101B-9397-08002B2CF9AE}" pid="7" name="_IPGFLOW_P-B7C1_E-1_FP-1_SP-2_CV-F884AC65_CN-6833F77E">
    <vt:lpwstr>hPv6vf/ZJH03qQRSO7fec1z0IQroGRvEVyFT5uF9MepSXZ1gvvUr5VJA/EigymmV2+m9rkzfaF+onG5JuoYSBx7cMakqN9bzc4Gq05LfoBAnnXdZxxur4o5is3/9dSfMl60jNdgTTzZaOaoin/Xl8TPPF57RwETuyLNMsIsu8NkU=</vt:lpwstr>
  </property>
  <property fmtid="{D5CDD505-2E9C-101B-9397-08002B2CF9AE}" pid="8" name="_IPGFLOW_P-B7C1_E-0_FP-1_CV-B684056A_CN-E5072681">
    <vt:lpwstr>DPSPMK|3|428|2|0</vt:lpwstr>
  </property>
  <property fmtid="{D5CDD505-2E9C-101B-9397-08002B2CF9AE}" pid="9" name="_IPGFLOW_P-B7C1_E-1_FP-2_SP-1_CV-915AD14_CN-A9B8A213">
    <vt:lpwstr>egi68nhWYve3RDUzEuiiH2URZzR5b77ja4euNNYM95LdhqF6NzW9Rffm0TP5FWAcR5F5WnMssFSWHoB4KUyyA3gdaRVoB2DNPRgGF2+R1aXg13IUkWAalT5EAd65UaTk8t6Jvb3Gil17J1vhcm1vQ8eL/3PrTdxtx05kljttDGQxQAqJUMEeryMvn+M7u2jL5m25AHTy/D5gO4FWDTMV5dW3Gknr83iqY8XgvEKSCZ4JFFQ+rAtYok7BR49ii7W</vt:lpwstr>
  </property>
  <property fmtid="{D5CDD505-2E9C-101B-9397-08002B2CF9AE}" pid="10" name="_IPGFLOW_P-B7C1_E-1_FP-2_SP-2_CV-D94D2F36_CN-73C86E07">
    <vt:lpwstr>6p3IJ5OyFQUOjNID2TBCoGvhxSPd5nOnv7h9/ITS/Itt/mW6KUniCUBDEaCeTwg1OUdEW1ajFJfd5OR1JrctVVtprVAEdDSI4jvbVAQVZZ89HApbuxG8LxQiFq+tJvO46zWyzpz1c5qmOSivsNuo6Fg==</vt:lpwstr>
  </property>
  <property fmtid="{D5CDD505-2E9C-101B-9397-08002B2CF9AE}" pid="11" name="_IPGFLOW_P-B7C1_E-0_FP-2_CV-FB4CA461_CN-7AD490DB">
    <vt:lpwstr>DPSPMK|3|408|2|0</vt:lpwstr>
  </property>
  <property fmtid="{D5CDD505-2E9C-101B-9397-08002B2CF9AE}" pid="12" name="_IPGFLOW_P-B7C1_E-0_CV-8BD6D882_CN-5C79E7B7">
    <vt:lpwstr>DPFPMK|3|50|3|0</vt:lpwstr>
  </property>
  <property fmtid="{D5CDD505-2E9C-101B-9397-08002B2CF9AE}" pid="13" name="_IPGFLOW_P-B7C1_E-1_FP-3_SP-1_CV-748B7C34_CN-45C125B5">
    <vt:lpwstr>egi68nhWYve3RDUzEuiiHxH6bXjXZbEshhJSuzrtzP8eqiQzK9TGVKKZy0t0TfGFHIalP/p/ObK+4Zq7g4g+khioplcFzKRAnpCaOTvrjISYnx65mFNH8BsDR8Mge/iWUfOseX5vFL74A0bv955LPrONoAKtv9+4KlflzYS866Nf7UW24q+xE/gqov4eL5iDLm/fy9Cli2vNZDCM+WU+OJws33XKFOAAkGkjYA/SKPbhY87VBVOOA1F0qFj6gp1</vt:lpwstr>
  </property>
  <property fmtid="{D5CDD505-2E9C-101B-9397-08002B2CF9AE}" pid="14" name="_IPGFLOW_P-B7C1_E-1_FP-3_SP-2_CV-F128AD76_CN-19496137">
    <vt:lpwstr>A2ppN1arE+l3nz58wV01OlLa+S/lE7AOebZ+vj95uWKgdNFMqvAP49QvHYbvPwpd6XI6pfK8SWI70wjSzqIray9dGIwy10BR4ComeAhfMnCFIgW4Jmh6x338OJWXgnpgHEt3MRBsYBCCR4Vsu7wO7lA==</vt:lpwstr>
  </property>
  <property fmtid="{D5CDD505-2E9C-101B-9397-08002B2CF9AE}" pid="15" name="_IPGFLOW_P-B7C1_E-0_FP-3_CV-FB4CA461_CN-A742495E">
    <vt:lpwstr>DPSPMK|3|408|2|0</vt:lpwstr>
  </property>
</Properties>
</file>